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Regular" w:hAnsi="Times New Roman Regular" w:eastAsia="仿宋_GB2312" w:cs="Times New Roman Regular"/>
          <w:sz w:val="30"/>
          <w:szCs w:val="30"/>
        </w:rPr>
      </w:pPr>
    </w:p>
    <w:p>
      <w:pPr>
        <w:jc w:val="center"/>
        <w:rPr>
          <w:rFonts w:hint="default" w:ascii="Times New Roman Regular" w:hAnsi="Times New Roman Regular" w:eastAsia="方正小标宋简体" w:cs="Times New Roman Regular"/>
          <w:sz w:val="36"/>
          <w:szCs w:val="36"/>
          <w:lang w:eastAsia="zh-Hans"/>
        </w:rPr>
      </w:pPr>
      <w:r>
        <w:rPr>
          <w:rFonts w:hint="eastAsia" w:ascii="Times New Roman Regular" w:hAnsi="Times New Roman Regular" w:eastAsia="方正小标宋简体" w:cs="Times New Roman Regular"/>
          <w:sz w:val="36"/>
          <w:szCs w:val="36"/>
          <w:lang w:val="en-US" w:eastAsia="zh-Hans"/>
        </w:rPr>
        <w:t>“</w:t>
      </w:r>
      <w:r>
        <w:rPr>
          <w:rFonts w:hint="default" w:ascii="Times New Roman Regular" w:hAnsi="Times New Roman Regular" w:eastAsia="方正小标宋简体" w:cs="Times New Roman Regular"/>
          <w:sz w:val="36"/>
          <w:szCs w:val="36"/>
          <w:lang w:val="en-US" w:eastAsia="zh-Hans"/>
        </w:rPr>
        <w:t>生活垃圾碳化热解技术</w:t>
      </w:r>
      <w:r>
        <w:rPr>
          <w:rFonts w:hint="eastAsia" w:ascii="Times New Roman Regular" w:hAnsi="Times New Roman Regular" w:eastAsia="方正小标宋简体" w:cs="Times New Roman Regular"/>
          <w:sz w:val="36"/>
          <w:szCs w:val="36"/>
          <w:lang w:val="en-US" w:eastAsia="zh-Hans"/>
        </w:rPr>
        <w:t>”</w:t>
      </w:r>
      <w:r>
        <w:rPr>
          <w:rFonts w:hint="default" w:ascii="Times New Roman Regular" w:hAnsi="Times New Roman Regular" w:eastAsia="方正小标宋简体" w:cs="Times New Roman Regular"/>
          <w:sz w:val="36"/>
          <w:szCs w:val="36"/>
          <w:lang w:val="en-US" w:eastAsia="zh-Hans"/>
        </w:rPr>
        <w:t>综合评估结论</w:t>
      </w:r>
    </w:p>
    <w:p>
      <w:pPr>
        <w:rPr>
          <w:rFonts w:hint="default" w:ascii="Times New Roman Regular" w:hAnsi="Times New Roman Regular" w:eastAsia="仿宋_GB2312" w:cs="Times New Roman Regular"/>
          <w:sz w:val="30"/>
          <w:szCs w:val="30"/>
        </w:rPr>
      </w:pPr>
    </w:p>
    <w:p>
      <w:pPr>
        <w:ind w:firstLine="600" w:firstLineChars="200"/>
        <w:rPr>
          <w:rFonts w:hint="default" w:ascii="Times New Roman Regular" w:hAnsi="Times New Roman Regular" w:eastAsia="仿宋_GB2312" w:cs="Times New Roman Regular"/>
          <w:sz w:val="30"/>
          <w:szCs w:val="30"/>
        </w:rPr>
      </w:pPr>
      <w:r>
        <w:rPr>
          <w:rFonts w:hint="default" w:ascii="Times New Roman Regular" w:hAnsi="Times New Roman Regular" w:eastAsia="仿宋_GB2312" w:cs="Times New Roman Regular"/>
          <w:sz w:val="30"/>
          <w:szCs w:val="30"/>
        </w:rPr>
        <w:t>2022年4月，生态环境部环境发展中心接受四川维凯环保科技有限公司委托，开展</w:t>
      </w:r>
      <w:r>
        <w:rPr>
          <w:rFonts w:hint="eastAsia" w:ascii="Times New Roman Regular" w:hAnsi="Times New Roman Regular" w:eastAsia="仿宋_GB2312" w:cs="Times New Roman Regular"/>
          <w:sz w:val="30"/>
          <w:szCs w:val="30"/>
          <w:lang w:eastAsia="zh-Hans"/>
        </w:rPr>
        <w:t>“</w:t>
      </w:r>
      <w:r>
        <w:rPr>
          <w:rFonts w:hint="default" w:ascii="Times New Roman Regular" w:hAnsi="Times New Roman Regular" w:eastAsia="仿宋_GB2312" w:cs="Times New Roman Regular"/>
          <w:sz w:val="30"/>
          <w:szCs w:val="30"/>
        </w:rPr>
        <w:t>生活垃圾碳化热解技术</w:t>
      </w:r>
      <w:r>
        <w:rPr>
          <w:rFonts w:hint="eastAsia" w:ascii="Times New Roman Regular" w:hAnsi="Times New Roman Regular" w:eastAsia="仿宋_GB2312" w:cs="Times New Roman Regular"/>
          <w:sz w:val="30"/>
          <w:szCs w:val="30"/>
          <w:lang w:eastAsia="zh-Hans"/>
        </w:rPr>
        <w:t>”</w:t>
      </w:r>
      <w:r>
        <w:rPr>
          <w:rFonts w:hint="default" w:ascii="Times New Roman Regular" w:hAnsi="Times New Roman Regular" w:eastAsia="仿宋_GB2312" w:cs="Times New Roman Regular"/>
          <w:sz w:val="30"/>
          <w:szCs w:val="30"/>
        </w:rPr>
        <w:t>评估，综合第三方检测报告、专家咨询等情况，形成如下综合评估结论：</w:t>
      </w:r>
    </w:p>
    <w:p>
      <w:pPr>
        <w:ind w:firstLine="600" w:firstLineChars="200"/>
        <w:rPr>
          <w:rFonts w:hint="default" w:ascii="Times New Roman Regular" w:hAnsi="Times New Roman Regular" w:eastAsia="仿宋_GB2312" w:cs="Times New Roman Regular"/>
          <w:sz w:val="30"/>
          <w:szCs w:val="30"/>
        </w:rPr>
      </w:pPr>
      <w:r>
        <w:rPr>
          <w:rFonts w:hint="default" w:ascii="Times New Roman Regular" w:hAnsi="Times New Roman Regular" w:eastAsia="仿宋_GB2312" w:cs="Times New Roman Regular"/>
          <w:sz w:val="30"/>
          <w:szCs w:val="30"/>
        </w:rPr>
        <w:t>1.该技术采用碳化热解工艺，通过优化热解工艺结构、二燃室换向、预热蓄热工艺，</w:t>
      </w:r>
      <w:r>
        <w:rPr>
          <w:rFonts w:hint="eastAsia" w:ascii="Times New Roman Regular" w:hAnsi="Times New Roman Regular" w:eastAsia="仿宋_GB2312" w:cs="Times New Roman Regular"/>
          <w:sz w:val="30"/>
          <w:szCs w:val="30"/>
          <w:lang w:val="en-US" w:eastAsia="zh-Hans"/>
        </w:rPr>
        <w:t>实现</w:t>
      </w:r>
      <w:r>
        <w:rPr>
          <w:rFonts w:hint="default" w:ascii="Times New Roman Regular" w:hAnsi="Times New Roman Regular" w:eastAsia="仿宋_GB2312" w:cs="Times New Roman Regular"/>
          <w:sz w:val="30"/>
          <w:szCs w:val="30"/>
        </w:rPr>
        <w:t>原生垃圾不用筛分直接进碳化热解炉处理、低热值烟气在二燃室内持续在850℃以上稳定燃烧超过2秒。该技术单台设备日处理量3～50吨，适用于乡镇、偏远农村的生活垃圾就近处理及县域级生活垃圾集中处理。</w:t>
      </w:r>
    </w:p>
    <w:p>
      <w:pPr>
        <w:ind w:firstLine="600" w:firstLineChars="200"/>
        <w:rPr>
          <w:rFonts w:hint="default" w:ascii="Times New Roman Regular" w:hAnsi="Times New Roman Regular" w:eastAsia="仿宋_GB2312" w:cs="Times New Roman Regular"/>
          <w:sz w:val="30"/>
          <w:szCs w:val="30"/>
        </w:rPr>
      </w:pPr>
      <w:r>
        <w:rPr>
          <w:rFonts w:hint="default" w:ascii="Times New Roman Regular" w:hAnsi="Times New Roman Regular" w:eastAsia="仿宋_GB2312" w:cs="Times New Roman Regular"/>
          <w:sz w:val="30"/>
          <w:szCs w:val="30"/>
        </w:rPr>
        <w:t>2.该技术符合国家和行业对生活垃圾处理所出台的相关政策标准的要求，通过对炉体结构、二燃室功能结构等方面的改进提升，解决了小型化生活垃圾处理设备在热解过程中结焦、烧穿、二燃室燃烧稳定性差等难点问题，具有较好的创新性。</w:t>
      </w:r>
    </w:p>
    <w:p>
      <w:pPr>
        <w:ind w:firstLine="600" w:firstLineChars="200"/>
        <w:rPr>
          <w:rFonts w:hint="default" w:ascii="Times New Roman Regular" w:hAnsi="Times New Roman Regular" w:eastAsia="仿宋_GB2312" w:cs="Times New Roman Regular"/>
          <w:sz w:val="30"/>
          <w:szCs w:val="30"/>
        </w:rPr>
      </w:pPr>
      <w:r>
        <w:rPr>
          <w:rFonts w:hint="default" w:ascii="Times New Roman Regular" w:hAnsi="Times New Roman Regular" w:eastAsia="仿宋_GB2312" w:cs="Times New Roman Regular"/>
          <w:sz w:val="30"/>
          <w:szCs w:val="30"/>
        </w:rPr>
        <w:t>3.该技术已在北京、云南、内蒙古等多地实现产业化应用，示范项目运行稳定，达到设计处理量，用户反馈良好。该技术在云南省勐腊县及内蒙古自治区乌拉特中旗</w:t>
      </w:r>
      <w:bookmarkStart w:id="0" w:name="_GoBack"/>
      <w:bookmarkEnd w:id="0"/>
      <w:r>
        <w:rPr>
          <w:rFonts w:hint="default" w:ascii="Times New Roman Regular" w:hAnsi="Times New Roman Regular" w:eastAsia="仿宋_GB2312" w:cs="Times New Roman Regular"/>
          <w:sz w:val="30"/>
          <w:szCs w:val="30"/>
        </w:rPr>
        <w:t>的示范项目有组织废气经第三方检测，二噁英等相关指标均达到《生活垃圾焚烧污染控制标准》（GB 18485-2014）的限值要求。</w:t>
      </w:r>
    </w:p>
    <w:p>
      <w:pPr>
        <w:ind w:firstLine="600" w:firstLineChars="200"/>
        <w:rPr>
          <w:rFonts w:hint="default" w:ascii="Times New Roman Regular" w:hAnsi="Times New Roman Regular" w:eastAsia="仿宋_GB2312" w:cs="Times New Roman Regular"/>
          <w:sz w:val="30"/>
          <w:szCs w:val="30"/>
        </w:rPr>
      </w:pPr>
    </w:p>
    <w:p>
      <w:pPr>
        <w:ind w:firstLine="600" w:firstLineChars="200"/>
        <w:rPr>
          <w:rFonts w:hint="default" w:ascii="Times New Roman Regular" w:hAnsi="Times New Roman Regular" w:eastAsia="仿宋_GB2312" w:cs="Times New Roman Regular"/>
          <w:sz w:val="30"/>
          <w:szCs w:val="30"/>
        </w:rPr>
      </w:pPr>
    </w:p>
    <w:p>
      <w:pPr>
        <w:ind w:firstLine="600" w:firstLineChars="200"/>
        <w:jc w:val="right"/>
        <w:rPr>
          <w:rFonts w:hint="default" w:ascii="Times New Roman Regular" w:hAnsi="Times New Roman Regular" w:eastAsia="仿宋_GB2312" w:cs="Times New Roman Regular"/>
          <w:sz w:val="30"/>
          <w:szCs w:val="30"/>
        </w:rPr>
      </w:pPr>
      <w:r>
        <w:rPr>
          <w:rFonts w:hint="default" w:ascii="Times New Roman Regular" w:hAnsi="Times New Roman Regular" w:eastAsia="仿宋_GB2312" w:cs="Times New Roman Regular"/>
          <w:sz w:val="30"/>
          <w:szCs w:val="30"/>
        </w:rPr>
        <w:t>2022年9月1日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panose1 w:val="02010609030101010101"/>
    <w:charset w:val="86"/>
    <w:family w:val="auto"/>
    <w:pitch w:val="default"/>
    <w:sig w:usb0="00000001" w:usb1="080E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Arial">
    <w:panose1 w:val="020B0604020202090204"/>
    <w:charset w:val="00"/>
    <w:family w:val="auto"/>
    <w:pitch w:val="default"/>
    <w:sig w:usb0="E0000AFF" w:usb1="00007843" w:usb2="00000001" w:usb3="00000000" w:csb0="400001BF" w:csb1="DFF70000"/>
  </w:font>
  <w:font w:name="楷体_GB2312">
    <w:panose1 w:val="02010609030101010101"/>
    <w:charset w:val="86"/>
    <w:family w:val="auto"/>
    <w:pitch w:val="default"/>
    <w:sig w:usb0="00000001" w:usb1="080E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 w:name="华文中宋">
    <w:panose1 w:val="02010600040101010101"/>
    <w:charset w:val="86"/>
    <w:family w:val="auto"/>
    <w:pitch w:val="default"/>
    <w:sig w:usb0="00000287" w:usb1="080F0000" w:usb2="00000000" w:usb3="00000000" w:csb0="0004009F" w:csb1="DFD70000"/>
  </w:font>
  <w:font w:name="FangSong">
    <w:altName w:val="方正仿宋_GBK"/>
    <w:panose1 w:val="00000000000000000000"/>
    <w:charset w:val="00"/>
    <w:family w:val="auto"/>
    <w:pitch w:val="default"/>
    <w:sig w:usb0="00000000" w:usb1="00000000" w:usb2="00000000" w:usb3="00000000" w:csb0="00040001" w:csb1="00000000"/>
  </w:font>
  <w:font w:name="微软雅黑">
    <w:altName w:val="汉仪旗黑"/>
    <w:panose1 w:val="020B0503020204020204"/>
    <w:charset w:val="00"/>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FangSong_GB2312">
    <w:panose1 w:val="02010609030101010101"/>
    <w:charset w:val="86"/>
    <w:family w:val="auto"/>
    <w:pitch w:val="default"/>
    <w:sig w:usb0="00000001" w:usb1="080E0000" w:usb2="00000000" w:usb3="00000000" w:csb0="00040000" w:csb1="00000000"/>
  </w:font>
  <w:font w:name="Times New Roman Bold">
    <w:panose1 w:val="02020603050405020304"/>
    <w:charset w:val="00"/>
    <w:family w:val="auto"/>
    <w:pitch w:val="default"/>
    <w:sig w:usb0="E0002AEF" w:usb1="C0007841"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楷体">
    <w:altName w:val="汉仪楷体KW"/>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ambria Math">
    <w:altName w:val="Kingsoft Math"/>
    <w:panose1 w:val="02040503050406030204"/>
    <w:charset w:val="00"/>
    <w:family w:val="roman"/>
    <w:pitch w:val="default"/>
    <w:sig w:usb0="00000000" w:usb1="00000000" w:usb2="02000000"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Kingsoft Math">
    <w:panose1 w:val="02040503050406030204"/>
    <w:charset w:val="00"/>
    <w:family w:val="auto"/>
    <w:pitch w:val="default"/>
    <w:sig w:usb0="80000087" w:usb1="00002068" w:usb2="00000000" w:usb3="00000000" w:csb0="2000019F"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___WRD_EMBED_SUB_48">
    <w:altName w:val="苹方-简"/>
    <w:panose1 w:val="00000000000000000000"/>
    <w:charset w:val="00"/>
    <w:family w:val="auto"/>
    <w:pitch w:val="default"/>
    <w:sig w:usb0="00000000" w:usb1="00000000" w:usb2="00000012" w:usb3="00000000" w:csb0="00040001" w:csb1="00000000"/>
  </w:font>
  <w:font w:name="方正仿宋_GB2312">
    <w:altName w:val="苹方-简"/>
    <w:panose1 w:val="02000000000000000000"/>
    <w:charset w:val="00"/>
    <w:family w:val="auto"/>
    <w:pitch w:val="default"/>
    <w:sig w:usb0="00000000" w:usb1="00000000" w:usb2="00000012" w:usb3="00000000" w:csb0="00040001" w:csb1="00000000"/>
  </w:font>
  <w:font w:name="CIDFont">
    <w:altName w:val="苹方-简"/>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FAFBA"/>
    <w:rsid w:val="55FFAFBA"/>
    <w:rsid w:val="73DC6253"/>
    <w:rsid w:val="7FC5C81E"/>
    <w:rsid w:val="9AFDBA6A"/>
    <w:rsid w:val="B7FDF773"/>
    <w:rsid w:val="F56EBDC7"/>
    <w:rsid w:val="FCF6C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napToGrid/>
      <w:spacing w:before="0" w:beforeLines="0" w:beforeAutospacing="0" w:after="0" w:afterLines="0" w:afterAutospacing="0" w:line="413" w:lineRule="auto"/>
      <w:ind w:firstLine="881" w:firstLineChars="200"/>
      <w:jc w:val="left"/>
      <w:outlineLvl w:val="2"/>
    </w:pPr>
    <w:rPr>
      <w:rFonts w:ascii="Times New Roman Bold" w:hAnsi="Times New Roman Bold" w:eastAsia="FangSong_GB2312" w:cs="Times New Roman"/>
      <w:b/>
      <w:sz w:val="30"/>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2022-09-01T00:15:00Z</dcterms:created>
  <dc:creator>panlihui</dc:creator>
  <cp:lastModifiedBy>panlihui</cp:lastModifiedBy>
  <dcterms:modified xsi:type="dcterms:W3CDTF">2022-09-06T09:03:49Z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