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3E4B3" w14:textId="77777777" w:rsidR="00DE5A81" w:rsidRDefault="00285C58">
      <w:pPr>
        <w:adjustRightInd w:val="0"/>
        <w:snapToGrid w:val="0"/>
        <w:jc w:val="center"/>
        <w:rPr>
          <w:rFonts w:ascii="Times New Roman" w:eastAsia="方正小标宋简体" w:hAnsi="Times New Roman" w:cs="方正小标宋简体"/>
          <w:sz w:val="36"/>
          <w:szCs w:val="36"/>
        </w:rPr>
      </w:pPr>
      <w:r>
        <w:rPr>
          <w:rFonts w:ascii="Times New Roman" w:eastAsia="方正小标宋简体" w:hAnsi="Times New Roman" w:cs="方正小标宋简体" w:hint="eastAsia"/>
          <w:sz w:val="36"/>
          <w:szCs w:val="36"/>
        </w:rPr>
        <w:t>“</w:t>
      </w:r>
      <w:r w:rsidR="00DE5A81" w:rsidRPr="00903142">
        <w:rPr>
          <w:rFonts w:ascii="方正小标宋简体" w:eastAsia="方正小标宋简体" w:hAnsi="方正小标宋简体" w:cs="方正小标宋简体" w:hint="eastAsia"/>
          <w:sz w:val="36"/>
          <w:szCs w:val="36"/>
        </w:rPr>
        <w:t>工业废水厌氧氨氧化深度脱氮资源回收</w:t>
      </w:r>
      <w:r>
        <w:rPr>
          <w:rFonts w:ascii="Times New Roman" w:eastAsia="方正小标宋简体" w:hAnsi="Times New Roman" w:cs="方正小标宋简体" w:hint="eastAsia"/>
          <w:sz w:val="36"/>
          <w:szCs w:val="36"/>
        </w:rPr>
        <w:t>”</w:t>
      </w:r>
      <w:r w:rsidR="00DE5A81">
        <w:rPr>
          <w:rFonts w:ascii="Times New Roman" w:eastAsia="方正小标宋简体" w:hAnsi="Times New Roman" w:cs="方正小标宋简体" w:hint="eastAsia"/>
          <w:sz w:val="36"/>
          <w:szCs w:val="36"/>
        </w:rPr>
        <w:t>等</w:t>
      </w:r>
      <w:r w:rsidR="00DE5A81">
        <w:rPr>
          <w:rFonts w:ascii="Times New Roman" w:eastAsia="方正小标宋简体" w:hAnsi="Times New Roman" w:cs="方正小标宋简体" w:hint="eastAsia"/>
          <w:sz w:val="36"/>
          <w:szCs w:val="36"/>
        </w:rPr>
        <w:t>3</w:t>
      </w:r>
      <w:r w:rsidR="00DE5A81">
        <w:rPr>
          <w:rFonts w:ascii="Times New Roman" w:eastAsia="方正小标宋简体" w:hAnsi="Times New Roman" w:cs="方正小标宋简体" w:hint="eastAsia"/>
          <w:sz w:val="36"/>
          <w:szCs w:val="36"/>
        </w:rPr>
        <w:t>项</w:t>
      </w:r>
    </w:p>
    <w:p w14:paraId="76E9A5E1" w14:textId="77777777" w:rsidR="00F56B76" w:rsidRDefault="00285C58">
      <w:pPr>
        <w:adjustRightInd w:val="0"/>
        <w:snapToGrid w:val="0"/>
        <w:jc w:val="center"/>
        <w:rPr>
          <w:rFonts w:ascii="Times New Roman" w:eastAsia="方正小标宋简体" w:hAnsi="Times New Roman" w:cs="Times New Roman"/>
          <w:sz w:val="36"/>
          <w:szCs w:val="36"/>
        </w:rPr>
      </w:pPr>
      <w:r>
        <w:rPr>
          <w:rFonts w:ascii="Times New Roman" w:eastAsia="方正小标宋简体" w:hAnsi="Times New Roman" w:cs="方正小标宋简体" w:hint="eastAsia"/>
          <w:sz w:val="36"/>
          <w:szCs w:val="36"/>
        </w:rPr>
        <w:t>技术</w:t>
      </w:r>
      <w:r>
        <w:rPr>
          <w:rFonts w:ascii="Times New Roman" w:eastAsia="方正小标宋简体" w:hAnsi="Times New Roman" w:cs="Times New Roman"/>
          <w:sz w:val="36"/>
          <w:szCs w:val="36"/>
        </w:rPr>
        <w:t>综合评估结论</w:t>
      </w:r>
    </w:p>
    <w:p w14:paraId="7C8D9681" w14:textId="77777777" w:rsidR="00F56B76" w:rsidRDefault="00F56B76">
      <w:pPr>
        <w:adjustRightInd w:val="0"/>
        <w:snapToGrid w:val="0"/>
        <w:spacing w:line="360" w:lineRule="auto"/>
        <w:ind w:firstLineChars="200" w:firstLine="600"/>
        <w:rPr>
          <w:rFonts w:ascii="Times New Roman" w:eastAsia="仿宋_GB2312" w:hAnsi="Times New Roman" w:cs="Times New Roman"/>
          <w:bCs/>
          <w:sz w:val="30"/>
          <w:szCs w:val="30"/>
        </w:rPr>
      </w:pPr>
    </w:p>
    <w:p w14:paraId="5ED3D71C" w14:textId="77777777" w:rsidR="00DE5A81" w:rsidRPr="00DE5A81" w:rsidRDefault="00DE5A81" w:rsidP="00DE5A81">
      <w:pPr>
        <w:adjustRightInd w:val="0"/>
        <w:snapToGrid w:val="0"/>
        <w:spacing w:line="540" w:lineRule="exact"/>
        <w:ind w:firstLineChars="200" w:firstLine="602"/>
        <w:rPr>
          <w:rFonts w:ascii="Times New Roman" w:eastAsia="仿宋_GB2312" w:hAnsi="Times New Roman" w:cs="Times New Roman"/>
          <w:b/>
          <w:bCs/>
          <w:sz w:val="30"/>
          <w:szCs w:val="30"/>
        </w:rPr>
      </w:pPr>
      <w:r w:rsidRPr="00DE5A81">
        <w:rPr>
          <w:rFonts w:ascii="Times New Roman" w:eastAsia="仿宋_GB2312" w:hAnsi="Times New Roman" w:cs="Times New Roman" w:hint="eastAsia"/>
          <w:b/>
          <w:bCs/>
          <w:sz w:val="30"/>
          <w:szCs w:val="30"/>
        </w:rPr>
        <w:t>一</w:t>
      </w:r>
      <w:r w:rsidRPr="00DE5A81">
        <w:rPr>
          <w:rFonts w:ascii="Times New Roman" w:eastAsia="仿宋_GB2312" w:hAnsi="Times New Roman" w:cs="Times New Roman"/>
          <w:b/>
          <w:bCs/>
          <w:sz w:val="30"/>
          <w:szCs w:val="30"/>
        </w:rPr>
        <w:t>、</w:t>
      </w:r>
      <w:r w:rsidRPr="00DE5A81">
        <w:rPr>
          <w:rFonts w:ascii="Times New Roman" w:eastAsia="仿宋_GB2312" w:hAnsi="Times New Roman" w:cs="Times New Roman" w:hint="eastAsia"/>
          <w:b/>
          <w:bCs/>
          <w:sz w:val="30"/>
          <w:szCs w:val="30"/>
        </w:rPr>
        <w:t>“工业废水厌氧氨氧化深度脱氮资源回收”技术</w:t>
      </w:r>
    </w:p>
    <w:p w14:paraId="7FF03DEF" w14:textId="77777777" w:rsidR="00DE5A81" w:rsidRPr="005040D8" w:rsidRDefault="00DE5A81" w:rsidP="00DE5A81">
      <w:pPr>
        <w:adjustRightInd w:val="0"/>
        <w:snapToGrid w:val="0"/>
        <w:spacing w:line="540" w:lineRule="exact"/>
        <w:ind w:firstLineChars="200" w:firstLine="600"/>
        <w:rPr>
          <w:rFonts w:ascii="Times New Roman" w:eastAsia="仿宋_GB2312" w:hAnsi="Times New Roman" w:cs="Times New Roman"/>
          <w:bCs/>
          <w:sz w:val="30"/>
          <w:szCs w:val="30"/>
        </w:rPr>
      </w:pPr>
      <w:r w:rsidRPr="005040D8">
        <w:rPr>
          <w:rFonts w:ascii="Times New Roman" w:eastAsia="仿宋_GB2312" w:hAnsi="Times New Roman" w:cs="Times New Roman" w:hint="eastAsia"/>
          <w:bCs/>
          <w:sz w:val="30"/>
          <w:szCs w:val="30"/>
        </w:rPr>
        <w:t>2022</w:t>
      </w:r>
      <w:r w:rsidRPr="005040D8">
        <w:rPr>
          <w:rFonts w:ascii="Times New Roman" w:eastAsia="仿宋_GB2312" w:hAnsi="Times New Roman" w:cs="Times New Roman" w:hint="eastAsia"/>
          <w:bCs/>
          <w:sz w:val="30"/>
          <w:szCs w:val="30"/>
        </w:rPr>
        <w:t>年</w:t>
      </w:r>
      <w:r w:rsidRPr="005040D8">
        <w:rPr>
          <w:rFonts w:ascii="Times New Roman" w:eastAsia="仿宋_GB2312" w:hAnsi="Times New Roman" w:cs="Times New Roman" w:hint="eastAsia"/>
          <w:bCs/>
          <w:sz w:val="30"/>
          <w:szCs w:val="30"/>
        </w:rPr>
        <w:t>6</w:t>
      </w:r>
      <w:r w:rsidRPr="005040D8">
        <w:rPr>
          <w:rFonts w:ascii="Times New Roman" w:eastAsia="仿宋_GB2312" w:hAnsi="Times New Roman" w:cs="Times New Roman" w:hint="eastAsia"/>
          <w:bCs/>
          <w:sz w:val="30"/>
          <w:szCs w:val="30"/>
        </w:rPr>
        <w:t>月，生态环境部环境发展中心接受北京坦思环保科技有限公司委托，开展“工业废水厌氧氨氧化深度脱氮资源回收”技术评估，综合第三方检测报告、现场核查、专家咨询等情况，形成如下综合评估结论：</w:t>
      </w:r>
    </w:p>
    <w:p w14:paraId="3E850830" w14:textId="77777777" w:rsidR="00DE5A81" w:rsidRPr="00DE5A81" w:rsidRDefault="00DE5A81" w:rsidP="00DE5A81">
      <w:pPr>
        <w:adjustRightInd w:val="0"/>
        <w:snapToGrid w:val="0"/>
        <w:spacing w:line="540" w:lineRule="exact"/>
        <w:ind w:firstLineChars="200" w:firstLine="600"/>
        <w:rPr>
          <w:rFonts w:ascii="Times New Roman" w:eastAsia="仿宋_GB2312" w:hAnsi="Times New Roman" w:cs="Times New Roman"/>
          <w:sz w:val="30"/>
          <w:szCs w:val="30"/>
        </w:rPr>
      </w:pPr>
      <w:r w:rsidRPr="00DE5A81">
        <w:rPr>
          <w:rFonts w:ascii="Times New Roman" w:eastAsia="仿宋_GB2312" w:hAnsi="Times New Roman" w:cs="Times New Roman" w:hint="eastAsia"/>
          <w:sz w:val="30"/>
          <w:szCs w:val="30"/>
        </w:rPr>
        <w:t xml:space="preserve">1. </w:t>
      </w:r>
      <w:r w:rsidRPr="00DE5A81">
        <w:rPr>
          <w:rFonts w:ascii="Times New Roman" w:eastAsia="仿宋_GB2312" w:hAnsi="Times New Roman" w:cs="Times New Roman" w:hint="eastAsia"/>
          <w:sz w:val="30"/>
          <w:szCs w:val="30"/>
        </w:rPr>
        <w:t>该技术利用无机碳作为碳源，以亚硝酸盐作为电子受体将氨氮直接氧化为氮气，实现氨氮和总氮同步去除。反应过程中无需外加碳源，水中有机物可充分利用，实现能源及资源的回收及利用。该技术适用于煤化工、发酵、制药、电子、畜禽养殖、垃圾渗滤液、污泥消化液等高氨氮废水处理。</w:t>
      </w:r>
      <w:r w:rsidRPr="00DE5A81">
        <w:rPr>
          <w:rFonts w:ascii="Times New Roman" w:eastAsia="仿宋_GB2312" w:hAnsi="Times New Roman" w:cs="Times New Roman" w:hint="eastAsia"/>
          <w:sz w:val="30"/>
          <w:szCs w:val="30"/>
        </w:rPr>
        <w:t xml:space="preserve"> </w:t>
      </w:r>
    </w:p>
    <w:p w14:paraId="1097F7C7" w14:textId="7627ECC4" w:rsidR="00DE5A81" w:rsidRPr="00DE5A81" w:rsidRDefault="00DE5A81" w:rsidP="00DE5A81">
      <w:pPr>
        <w:adjustRightInd w:val="0"/>
        <w:snapToGrid w:val="0"/>
        <w:spacing w:line="540" w:lineRule="exact"/>
        <w:ind w:firstLineChars="200" w:firstLine="600"/>
        <w:rPr>
          <w:rFonts w:ascii="Times New Roman" w:eastAsia="仿宋_GB2312" w:hAnsi="Times New Roman" w:cs="Times New Roman"/>
          <w:sz w:val="30"/>
          <w:szCs w:val="30"/>
        </w:rPr>
      </w:pPr>
      <w:r w:rsidRPr="00DE5A81">
        <w:rPr>
          <w:rFonts w:ascii="Times New Roman" w:eastAsia="仿宋_GB2312" w:hAnsi="Times New Roman" w:cs="Times New Roman" w:hint="eastAsia"/>
          <w:sz w:val="30"/>
          <w:szCs w:val="30"/>
        </w:rPr>
        <w:t xml:space="preserve">2. </w:t>
      </w:r>
      <w:r w:rsidRPr="00DE5A81">
        <w:rPr>
          <w:rFonts w:ascii="Times New Roman" w:eastAsia="仿宋_GB2312" w:hAnsi="Times New Roman" w:cs="Times New Roman" w:hint="eastAsia"/>
          <w:sz w:val="30"/>
          <w:szCs w:val="30"/>
        </w:rPr>
        <w:t>该技术符合当前国家对工业废水处理的相关政策，技术成熟度较高。突破了厌氧氨氧化菌快速启动、恢复、激活等菌种和菌群定向调控技术，开发了专有填料、催化剂和控制系统，研发集成了以絮体、颗粒物、生物膜组合的一体化厌氧氨氧化深度脱氮自养耦合工艺，解决了工业废水脱氮难、成本高、效率低的技术瓶颈。</w:t>
      </w:r>
    </w:p>
    <w:p w14:paraId="310934B5" w14:textId="3DA44115" w:rsidR="00DE5A81" w:rsidRDefault="00DE5A81" w:rsidP="00DE5A81">
      <w:pPr>
        <w:adjustRightInd w:val="0"/>
        <w:snapToGrid w:val="0"/>
        <w:spacing w:line="540" w:lineRule="exact"/>
        <w:ind w:firstLineChars="200" w:firstLine="600"/>
        <w:rPr>
          <w:rFonts w:ascii="Times New Roman" w:eastAsia="仿宋_GB2312" w:hAnsi="Times New Roman" w:cs="Times New Roman"/>
          <w:sz w:val="30"/>
          <w:szCs w:val="30"/>
        </w:rPr>
      </w:pPr>
      <w:r w:rsidRPr="00DE5A81">
        <w:rPr>
          <w:rFonts w:ascii="Times New Roman" w:eastAsia="仿宋_GB2312" w:hAnsi="Times New Roman" w:cs="Times New Roman" w:hint="eastAsia"/>
          <w:sz w:val="30"/>
          <w:szCs w:val="30"/>
        </w:rPr>
        <w:t xml:space="preserve">3. </w:t>
      </w:r>
      <w:r w:rsidRPr="00DE5A81">
        <w:rPr>
          <w:rFonts w:ascii="Times New Roman" w:eastAsia="仿宋_GB2312" w:hAnsi="Times New Roman" w:cs="Times New Roman" w:hint="eastAsia"/>
          <w:sz w:val="30"/>
          <w:szCs w:val="30"/>
        </w:rPr>
        <w:t>该技术应用于内蒙古某煤化工废水处理工程，废水中氨氮从</w:t>
      </w:r>
      <w:r w:rsidRPr="00DE5A81">
        <w:rPr>
          <w:rFonts w:ascii="Times New Roman" w:eastAsia="仿宋_GB2312" w:hAnsi="Times New Roman" w:cs="Times New Roman" w:hint="eastAsia"/>
          <w:sz w:val="30"/>
          <w:szCs w:val="30"/>
        </w:rPr>
        <w:t>512mg/L</w:t>
      </w:r>
      <w:r w:rsidRPr="00DE5A81">
        <w:rPr>
          <w:rFonts w:ascii="Times New Roman" w:eastAsia="仿宋_GB2312" w:hAnsi="Times New Roman" w:cs="Times New Roman" w:hint="eastAsia"/>
          <w:sz w:val="30"/>
          <w:szCs w:val="30"/>
        </w:rPr>
        <w:t>削减为</w:t>
      </w:r>
      <w:r w:rsidRPr="00DE5A81">
        <w:rPr>
          <w:rFonts w:ascii="Times New Roman" w:eastAsia="仿宋_GB2312" w:hAnsi="Times New Roman" w:cs="Times New Roman" w:hint="eastAsia"/>
          <w:sz w:val="30"/>
          <w:szCs w:val="30"/>
        </w:rPr>
        <w:t>10mg/L</w:t>
      </w:r>
      <w:r w:rsidRPr="00DE5A81">
        <w:rPr>
          <w:rFonts w:ascii="Times New Roman" w:eastAsia="仿宋_GB2312" w:hAnsi="Times New Roman" w:cs="Times New Roman" w:hint="eastAsia"/>
          <w:sz w:val="30"/>
          <w:szCs w:val="30"/>
        </w:rPr>
        <w:t>，去除率</w:t>
      </w:r>
      <w:r w:rsidRPr="00DE5A81">
        <w:rPr>
          <w:rFonts w:ascii="Times New Roman" w:eastAsia="仿宋_GB2312" w:hAnsi="Times New Roman" w:cs="Times New Roman" w:hint="eastAsia"/>
          <w:sz w:val="30"/>
          <w:szCs w:val="30"/>
        </w:rPr>
        <w:t>98%</w:t>
      </w:r>
      <w:r w:rsidRPr="00DE5A81">
        <w:rPr>
          <w:rFonts w:ascii="Times New Roman" w:eastAsia="仿宋_GB2312" w:hAnsi="Times New Roman" w:cs="Times New Roman" w:hint="eastAsia"/>
          <w:sz w:val="30"/>
          <w:szCs w:val="30"/>
        </w:rPr>
        <w:t>；总氮从</w:t>
      </w:r>
      <w:r w:rsidRPr="00DE5A81">
        <w:rPr>
          <w:rFonts w:ascii="Times New Roman" w:eastAsia="仿宋_GB2312" w:hAnsi="Times New Roman" w:cs="Times New Roman" w:hint="eastAsia"/>
          <w:sz w:val="30"/>
          <w:szCs w:val="30"/>
        </w:rPr>
        <w:t>534 mg/L</w:t>
      </w:r>
      <w:r w:rsidRPr="00DE5A81">
        <w:rPr>
          <w:rFonts w:ascii="Times New Roman" w:eastAsia="仿宋_GB2312" w:hAnsi="Times New Roman" w:cs="Times New Roman" w:hint="eastAsia"/>
          <w:sz w:val="30"/>
          <w:szCs w:val="30"/>
        </w:rPr>
        <w:t>削减为</w:t>
      </w:r>
      <w:r w:rsidRPr="00DE5A81">
        <w:rPr>
          <w:rFonts w:ascii="Times New Roman" w:eastAsia="仿宋_GB2312" w:hAnsi="Times New Roman" w:cs="Times New Roman" w:hint="eastAsia"/>
          <w:sz w:val="30"/>
          <w:szCs w:val="30"/>
        </w:rPr>
        <w:t>58. mg/L</w:t>
      </w:r>
      <w:r w:rsidRPr="00DE5A81">
        <w:rPr>
          <w:rFonts w:ascii="Times New Roman" w:eastAsia="仿宋_GB2312" w:hAnsi="Times New Roman" w:cs="Times New Roman" w:hint="eastAsia"/>
          <w:sz w:val="30"/>
          <w:szCs w:val="30"/>
        </w:rPr>
        <w:t>，去除率</w:t>
      </w:r>
      <w:r w:rsidRPr="00DE5A81">
        <w:rPr>
          <w:rFonts w:ascii="Times New Roman" w:eastAsia="仿宋_GB2312" w:hAnsi="Times New Roman" w:cs="Times New Roman" w:hint="eastAsia"/>
          <w:sz w:val="30"/>
          <w:szCs w:val="30"/>
        </w:rPr>
        <w:t>89%</w:t>
      </w:r>
      <w:r w:rsidRPr="00DE5A81">
        <w:rPr>
          <w:rFonts w:ascii="Times New Roman" w:eastAsia="仿宋_GB2312" w:hAnsi="Times New Roman" w:cs="Times New Roman" w:hint="eastAsia"/>
          <w:sz w:val="30"/>
          <w:szCs w:val="30"/>
        </w:rPr>
        <w:t>。节省碳源投加量</w:t>
      </w:r>
      <w:r w:rsidRPr="00DE5A81">
        <w:rPr>
          <w:rFonts w:ascii="Times New Roman" w:eastAsia="仿宋_GB2312" w:hAnsi="Times New Roman" w:cs="Times New Roman" w:hint="eastAsia"/>
          <w:sz w:val="30"/>
          <w:szCs w:val="30"/>
        </w:rPr>
        <w:t>95%</w:t>
      </w:r>
      <w:r w:rsidRPr="00DE5A81">
        <w:rPr>
          <w:rFonts w:ascii="Times New Roman" w:eastAsia="仿宋_GB2312" w:hAnsi="Times New Roman" w:cs="Times New Roman" w:hint="eastAsia"/>
          <w:sz w:val="30"/>
          <w:szCs w:val="30"/>
        </w:rPr>
        <w:t>，节省曝气能耗</w:t>
      </w:r>
      <w:r w:rsidRPr="00DE5A81">
        <w:rPr>
          <w:rFonts w:ascii="Times New Roman" w:eastAsia="仿宋_GB2312" w:hAnsi="Times New Roman" w:cs="Times New Roman" w:hint="eastAsia"/>
          <w:sz w:val="30"/>
          <w:szCs w:val="30"/>
        </w:rPr>
        <w:t>50%</w:t>
      </w:r>
      <w:r w:rsidRPr="00DE5A81">
        <w:rPr>
          <w:rFonts w:ascii="Times New Roman" w:eastAsia="仿宋_GB2312" w:hAnsi="Times New Roman" w:cs="Times New Roman" w:hint="eastAsia"/>
          <w:sz w:val="30"/>
          <w:szCs w:val="30"/>
        </w:rPr>
        <w:t>，产生直接经济效益超过</w:t>
      </w:r>
      <w:r w:rsidRPr="00DE5A81">
        <w:rPr>
          <w:rFonts w:ascii="Times New Roman" w:eastAsia="仿宋_GB2312" w:hAnsi="Times New Roman" w:cs="Times New Roman" w:hint="eastAsia"/>
          <w:sz w:val="30"/>
          <w:szCs w:val="30"/>
        </w:rPr>
        <w:t>1000</w:t>
      </w:r>
      <w:r w:rsidRPr="00DE5A81">
        <w:rPr>
          <w:rFonts w:ascii="Times New Roman" w:eastAsia="仿宋_GB2312" w:hAnsi="Times New Roman" w:cs="Times New Roman" w:hint="eastAsia"/>
          <w:sz w:val="30"/>
          <w:szCs w:val="30"/>
        </w:rPr>
        <w:t>万元</w:t>
      </w:r>
      <w:r w:rsidRPr="00DE5A81">
        <w:rPr>
          <w:rFonts w:ascii="Times New Roman" w:eastAsia="仿宋_GB2312" w:hAnsi="Times New Roman" w:cs="Times New Roman" w:hint="eastAsia"/>
          <w:sz w:val="30"/>
          <w:szCs w:val="30"/>
        </w:rPr>
        <w:t>/</w:t>
      </w:r>
      <w:r w:rsidRPr="00DE5A81">
        <w:rPr>
          <w:rFonts w:ascii="Times New Roman" w:eastAsia="仿宋_GB2312" w:hAnsi="Times New Roman" w:cs="Times New Roman" w:hint="eastAsia"/>
          <w:sz w:val="30"/>
          <w:szCs w:val="30"/>
        </w:rPr>
        <w:t>年。技术还推广到河北、河南、山东、四川等地区发酵、制药、电子、垃圾渗滤液、污泥消化液等</w:t>
      </w:r>
      <w:r w:rsidRPr="00DE5A81">
        <w:rPr>
          <w:rFonts w:ascii="Times New Roman" w:eastAsia="仿宋_GB2312" w:hAnsi="Times New Roman" w:cs="Times New Roman" w:hint="eastAsia"/>
          <w:sz w:val="30"/>
          <w:szCs w:val="30"/>
        </w:rPr>
        <w:t>7</w:t>
      </w:r>
      <w:r w:rsidRPr="00DE5A81">
        <w:rPr>
          <w:rFonts w:ascii="Times New Roman" w:eastAsia="仿宋_GB2312" w:hAnsi="Times New Roman" w:cs="Times New Roman" w:hint="eastAsia"/>
          <w:sz w:val="30"/>
          <w:szCs w:val="30"/>
        </w:rPr>
        <w:t>项高氨氮废水处理工程。</w:t>
      </w:r>
    </w:p>
    <w:p w14:paraId="4937CC0F" w14:textId="77777777" w:rsidR="00DE5A81" w:rsidRPr="00DE5A81" w:rsidRDefault="00DE5A81" w:rsidP="00DE5A81">
      <w:pPr>
        <w:adjustRightInd w:val="0"/>
        <w:snapToGrid w:val="0"/>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lastRenderedPageBreak/>
        <w:t>二</w:t>
      </w:r>
      <w:r w:rsidRPr="00DE5A81">
        <w:rPr>
          <w:rFonts w:ascii="Times New Roman" w:eastAsia="仿宋_GB2312" w:hAnsi="Times New Roman" w:cs="Times New Roman"/>
          <w:b/>
          <w:bCs/>
          <w:sz w:val="30"/>
          <w:szCs w:val="30"/>
        </w:rPr>
        <w:t>、</w:t>
      </w:r>
      <w:r w:rsidRPr="00DE5A81">
        <w:rPr>
          <w:rFonts w:ascii="Times New Roman" w:eastAsia="仿宋_GB2312" w:hAnsi="Times New Roman" w:cs="Times New Roman" w:hint="eastAsia"/>
          <w:b/>
          <w:bCs/>
          <w:sz w:val="30"/>
          <w:szCs w:val="30"/>
        </w:rPr>
        <w:t>“</w:t>
      </w:r>
      <w:r w:rsidRPr="00DE5A81">
        <w:rPr>
          <w:rFonts w:ascii="Times New Roman" w:eastAsia="仿宋_GB2312" w:hAnsi="Times New Roman" w:cs="Times New Roman" w:hint="eastAsia"/>
          <w:b/>
          <w:bCs/>
          <w:sz w:val="30"/>
          <w:szCs w:val="30"/>
        </w:rPr>
        <w:t>BEAOA</w:t>
      </w:r>
      <w:r w:rsidRPr="00DE5A81">
        <w:rPr>
          <w:rFonts w:ascii="Times New Roman" w:eastAsia="仿宋_GB2312" w:hAnsi="Times New Roman" w:cs="Times New Roman" w:hint="eastAsia"/>
          <w:b/>
          <w:bCs/>
          <w:sz w:val="30"/>
          <w:szCs w:val="30"/>
        </w:rPr>
        <w:t>高效利用内碳源脱氮除磷”技术</w:t>
      </w:r>
    </w:p>
    <w:p w14:paraId="7C9C4026" w14:textId="77777777" w:rsidR="00F56B76" w:rsidRPr="005040D8" w:rsidRDefault="00285C58" w:rsidP="00757D9B">
      <w:pPr>
        <w:adjustRightInd w:val="0"/>
        <w:snapToGrid w:val="0"/>
        <w:spacing w:line="540" w:lineRule="exact"/>
        <w:ind w:firstLineChars="200" w:firstLine="600"/>
        <w:rPr>
          <w:rFonts w:ascii="Times New Roman" w:eastAsia="仿宋_GB2312" w:hAnsi="Times New Roman" w:cs="Times New Roman"/>
          <w:bCs/>
          <w:sz w:val="30"/>
          <w:szCs w:val="30"/>
        </w:rPr>
      </w:pPr>
      <w:r w:rsidRPr="005040D8">
        <w:rPr>
          <w:rFonts w:ascii="Times New Roman" w:eastAsia="仿宋_GB2312" w:hAnsi="Times New Roman" w:cs="Times New Roman" w:hint="eastAsia"/>
          <w:bCs/>
          <w:sz w:val="30"/>
          <w:szCs w:val="30"/>
        </w:rPr>
        <w:t>202</w:t>
      </w:r>
      <w:r w:rsidR="00757D9B" w:rsidRPr="005040D8">
        <w:rPr>
          <w:rFonts w:ascii="Times New Roman" w:eastAsia="仿宋_GB2312" w:hAnsi="Times New Roman" w:cs="Times New Roman" w:hint="eastAsia"/>
          <w:bCs/>
          <w:sz w:val="30"/>
          <w:szCs w:val="30"/>
        </w:rPr>
        <w:t>2</w:t>
      </w:r>
      <w:r w:rsidRPr="005040D8">
        <w:rPr>
          <w:rFonts w:ascii="Times New Roman" w:eastAsia="仿宋_GB2312" w:hAnsi="Times New Roman" w:cs="Times New Roman" w:hint="eastAsia"/>
          <w:bCs/>
          <w:sz w:val="30"/>
          <w:szCs w:val="30"/>
        </w:rPr>
        <w:t>年</w:t>
      </w:r>
      <w:r w:rsidR="00757D9B" w:rsidRPr="005040D8">
        <w:rPr>
          <w:rFonts w:ascii="Times New Roman" w:eastAsia="仿宋_GB2312" w:hAnsi="Times New Roman" w:cs="Times New Roman" w:hint="eastAsia"/>
          <w:bCs/>
          <w:sz w:val="30"/>
          <w:szCs w:val="30"/>
        </w:rPr>
        <w:t>6</w:t>
      </w:r>
      <w:r w:rsidRPr="005040D8">
        <w:rPr>
          <w:rFonts w:ascii="Times New Roman" w:eastAsia="仿宋_GB2312" w:hAnsi="Times New Roman" w:cs="Times New Roman" w:hint="eastAsia"/>
          <w:bCs/>
          <w:sz w:val="30"/>
          <w:szCs w:val="30"/>
        </w:rPr>
        <w:t>月，生态环境部环境发展中心接受</w:t>
      </w:r>
      <w:r w:rsidR="008317A3" w:rsidRPr="008317A3">
        <w:rPr>
          <w:rFonts w:ascii="Times New Roman" w:eastAsia="仿宋_GB2312" w:hAnsi="Times New Roman" w:cs="Times New Roman" w:hint="eastAsia"/>
          <w:bCs/>
          <w:sz w:val="30"/>
          <w:szCs w:val="30"/>
        </w:rPr>
        <w:t>北控水务（中国）投资有限公司</w:t>
      </w:r>
      <w:r w:rsidRPr="005040D8">
        <w:rPr>
          <w:rFonts w:ascii="Times New Roman" w:eastAsia="仿宋_GB2312" w:hAnsi="Times New Roman" w:cs="Times New Roman" w:hint="eastAsia"/>
          <w:bCs/>
          <w:sz w:val="30"/>
          <w:szCs w:val="30"/>
        </w:rPr>
        <w:t>委托，开展“</w:t>
      </w:r>
      <w:r w:rsidR="008317A3" w:rsidRPr="008317A3">
        <w:rPr>
          <w:rFonts w:ascii="Times New Roman" w:eastAsia="仿宋_GB2312" w:hAnsi="Times New Roman" w:cs="Times New Roman" w:hint="eastAsia"/>
          <w:bCs/>
          <w:sz w:val="30"/>
          <w:szCs w:val="30"/>
        </w:rPr>
        <w:t>BEAOA</w:t>
      </w:r>
      <w:r w:rsidR="008317A3">
        <w:rPr>
          <w:rFonts w:ascii="Times New Roman" w:eastAsia="仿宋_GB2312" w:hAnsi="Times New Roman" w:cs="Times New Roman" w:hint="eastAsia"/>
          <w:bCs/>
          <w:sz w:val="30"/>
          <w:szCs w:val="30"/>
        </w:rPr>
        <w:t>高效利用内碳源脱氮除磷</w:t>
      </w:r>
      <w:r w:rsidRPr="005040D8">
        <w:rPr>
          <w:rFonts w:ascii="Times New Roman" w:eastAsia="仿宋_GB2312" w:hAnsi="Times New Roman" w:cs="Times New Roman" w:hint="eastAsia"/>
          <w:bCs/>
          <w:sz w:val="30"/>
          <w:szCs w:val="30"/>
        </w:rPr>
        <w:t>”技术评估，综合第三方检测报告、现场核查、专家咨询等情况，形成如下综合评估结论：</w:t>
      </w:r>
    </w:p>
    <w:p w14:paraId="1155F6CE" w14:textId="77777777" w:rsidR="00DE5A81" w:rsidRPr="00DE5A81" w:rsidRDefault="00DE5A81" w:rsidP="00DE5A81">
      <w:pPr>
        <w:adjustRightInd w:val="0"/>
        <w:snapToGrid w:val="0"/>
        <w:spacing w:line="540" w:lineRule="exact"/>
        <w:ind w:firstLineChars="200" w:firstLine="600"/>
        <w:rPr>
          <w:rFonts w:ascii="Times New Roman" w:eastAsia="仿宋_GB2312" w:hAnsi="Times New Roman" w:cs="Times New Roman"/>
          <w:bCs/>
          <w:sz w:val="30"/>
          <w:szCs w:val="30"/>
        </w:rPr>
      </w:pPr>
      <w:r w:rsidRPr="00DE5A81">
        <w:rPr>
          <w:rFonts w:ascii="Times New Roman" w:eastAsia="仿宋_GB2312" w:hAnsi="Times New Roman" w:cs="Times New Roman" w:hint="eastAsia"/>
          <w:bCs/>
          <w:sz w:val="30"/>
          <w:szCs w:val="30"/>
        </w:rPr>
        <w:t xml:space="preserve">1. </w:t>
      </w:r>
      <w:r w:rsidRPr="00DE5A81">
        <w:rPr>
          <w:rFonts w:ascii="Times New Roman" w:eastAsia="仿宋_GB2312" w:hAnsi="Times New Roman" w:cs="Times New Roman" w:hint="eastAsia"/>
          <w:bCs/>
          <w:sz w:val="30"/>
          <w:szCs w:val="30"/>
        </w:rPr>
        <w:t>该技术工艺中，污水依次流经厌氧</w:t>
      </w:r>
      <w:r w:rsidRPr="00DE5A81">
        <w:rPr>
          <w:rFonts w:ascii="Times New Roman" w:eastAsia="仿宋_GB2312" w:hAnsi="Times New Roman" w:cs="Times New Roman" w:hint="eastAsia"/>
          <w:bCs/>
          <w:sz w:val="30"/>
          <w:szCs w:val="30"/>
        </w:rPr>
        <w:t>-</w:t>
      </w:r>
      <w:r w:rsidRPr="00DE5A81">
        <w:rPr>
          <w:rFonts w:ascii="Times New Roman" w:eastAsia="仿宋_GB2312" w:hAnsi="Times New Roman" w:cs="Times New Roman" w:hint="eastAsia"/>
          <w:bCs/>
          <w:sz w:val="30"/>
          <w:szCs w:val="30"/>
        </w:rPr>
        <w:t>好氧</w:t>
      </w:r>
      <w:r w:rsidRPr="00DE5A81">
        <w:rPr>
          <w:rFonts w:ascii="Times New Roman" w:eastAsia="仿宋_GB2312" w:hAnsi="Times New Roman" w:cs="Times New Roman" w:hint="eastAsia"/>
          <w:bCs/>
          <w:sz w:val="30"/>
          <w:szCs w:val="30"/>
        </w:rPr>
        <w:t>-</w:t>
      </w:r>
      <w:r w:rsidRPr="00DE5A81">
        <w:rPr>
          <w:rFonts w:ascii="Times New Roman" w:eastAsia="仿宋_GB2312" w:hAnsi="Times New Roman" w:cs="Times New Roman" w:hint="eastAsia"/>
          <w:bCs/>
          <w:sz w:val="30"/>
          <w:szCs w:val="30"/>
        </w:rPr>
        <w:t>缺氧（</w:t>
      </w:r>
      <w:r w:rsidRPr="00DE5A81">
        <w:rPr>
          <w:rFonts w:ascii="Times New Roman" w:eastAsia="仿宋_GB2312" w:hAnsi="Times New Roman" w:cs="Times New Roman" w:hint="eastAsia"/>
          <w:bCs/>
          <w:sz w:val="30"/>
          <w:szCs w:val="30"/>
        </w:rPr>
        <w:t>A-O-A</w:t>
      </w:r>
      <w:r w:rsidRPr="00DE5A81">
        <w:rPr>
          <w:rFonts w:ascii="Times New Roman" w:eastAsia="仿宋_GB2312" w:hAnsi="Times New Roman" w:cs="Times New Roman" w:hint="eastAsia"/>
          <w:bCs/>
          <w:sz w:val="30"/>
          <w:szCs w:val="30"/>
        </w:rPr>
        <w:t>）生物反应池，在厌氧区将</w:t>
      </w:r>
      <w:r w:rsidRPr="00DE5A81">
        <w:rPr>
          <w:rFonts w:ascii="Times New Roman" w:eastAsia="仿宋_GB2312" w:hAnsi="Times New Roman" w:cs="Times New Roman" w:hint="eastAsia"/>
          <w:bCs/>
          <w:sz w:val="30"/>
          <w:szCs w:val="30"/>
        </w:rPr>
        <w:t>COD</w:t>
      </w:r>
      <w:r w:rsidRPr="00DE5A81">
        <w:rPr>
          <w:rFonts w:ascii="Times New Roman" w:eastAsia="仿宋_GB2312" w:hAnsi="Times New Roman" w:cs="Times New Roman" w:hint="eastAsia"/>
          <w:bCs/>
          <w:sz w:val="30"/>
          <w:szCs w:val="30"/>
        </w:rPr>
        <w:t>吸收储存为内碳源并厌氧释磷，好氧区进行吸磷和硝化反应，缺氧区利用储存的内碳源进行反硝化，在释磷和吸磷、硝化、反硝化过程中，实现水中有机物和氮磷营养物的高效去除。该技术适用于城镇生活污水处理。</w:t>
      </w:r>
    </w:p>
    <w:p w14:paraId="29EA0033" w14:textId="77777777" w:rsidR="00DE5A81" w:rsidRPr="00DE5A81" w:rsidRDefault="00DE5A81" w:rsidP="00DE5A81">
      <w:pPr>
        <w:adjustRightInd w:val="0"/>
        <w:snapToGrid w:val="0"/>
        <w:spacing w:line="540" w:lineRule="exact"/>
        <w:ind w:firstLineChars="200" w:firstLine="600"/>
        <w:rPr>
          <w:rFonts w:ascii="Times New Roman" w:eastAsia="仿宋_GB2312" w:hAnsi="Times New Roman" w:cs="Times New Roman"/>
          <w:bCs/>
          <w:sz w:val="30"/>
          <w:szCs w:val="30"/>
        </w:rPr>
      </w:pPr>
      <w:r w:rsidRPr="00DE5A81">
        <w:rPr>
          <w:rFonts w:ascii="Times New Roman" w:eastAsia="仿宋_GB2312" w:hAnsi="Times New Roman" w:cs="Times New Roman" w:hint="eastAsia"/>
          <w:bCs/>
          <w:sz w:val="30"/>
          <w:szCs w:val="30"/>
        </w:rPr>
        <w:t xml:space="preserve">2. </w:t>
      </w:r>
      <w:r w:rsidRPr="00DE5A81">
        <w:rPr>
          <w:rFonts w:ascii="Times New Roman" w:eastAsia="仿宋_GB2312" w:hAnsi="Times New Roman" w:cs="Times New Roman" w:hint="eastAsia"/>
          <w:bCs/>
          <w:sz w:val="30"/>
          <w:szCs w:val="30"/>
        </w:rPr>
        <w:t>该技术符合当前国家对生活污水处理的相关政策，技术成熟度较高。该技术充分利用污水内碳源，实现深度脱氮除磷，与传统</w:t>
      </w:r>
      <w:r w:rsidRPr="00DE5A81">
        <w:rPr>
          <w:rFonts w:ascii="Times New Roman" w:eastAsia="仿宋_GB2312" w:hAnsi="Times New Roman" w:cs="Times New Roman" w:hint="eastAsia"/>
          <w:bCs/>
          <w:sz w:val="30"/>
          <w:szCs w:val="30"/>
        </w:rPr>
        <w:t>A</w:t>
      </w:r>
      <w:r w:rsidRPr="00DE5A81">
        <w:rPr>
          <w:rFonts w:ascii="Times New Roman" w:eastAsia="仿宋_GB2312" w:hAnsi="Times New Roman" w:cs="Times New Roman" w:hint="eastAsia"/>
          <w:bCs/>
          <w:sz w:val="30"/>
          <w:szCs w:val="30"/>
          <w:vertAlign w:val="superscript"/>
        </w:rPr>
        <w:t>2</w:t>
      </w:r>
      <w:r w:rsidRPr="00DE5A81">
        <w:rPr>
          <w:rFonts w:ascii="Times New Roman" w:eastAsia="仿宋_GB2312" w:hAnsi="Times New Roman" w:cs="Times New Roman" w:hint="eastAsia"/>
          <w:bCs/>
          <w:sz w:val="30"/>
          <w:szCs w:val="30"/>
        </w:rPr>
        <w:t>/O</w:t>
      </w:r>
      <w:r w:rsidRPr="00DE5A81">
        <w:rPr>
          <w:rFonts w:ascii="Times New Roman" w:eastAsia="仿宋_GB2312" w:hAnsi="Times New Roman" w:cs="Times New Roman" w:hint="eastAsia"/>
          <w:bCs/>
          <w:sz w:val="30"/>
          <w:szCs w:val="30"/>
        </w:rPr>
        <w:t>相比，生化池停留时间缩短，原位扩容产能可提高</w:t>
      </w:r>
      <w:r w:rsidRPr="00DE5A81">
        <w:rPr>
          <w:rFonts w:ascii="Times New Roman" w:eastAsia="仿宋_GB2312" w:hAnsi="Times New Roman" w:cs="Times New Roman" w:hint="eastAsia"/>
          <w:bCs/>
          <w:sz w:val="30"/>
          <w:szCs w:val="30"/>
        </w:rPr>
        <w:t>30%</w:t>
      </w:r>
      <w:r w:rsidRPr="00DE5A81">
        <w:rPr>
          <w:rFonts w:ascii="Times New Roman" w:eastAsia="仿宋_GB2312" w:hAnsi="Times New Roman" w:cs="Times New Roman" w:hint="eastAsia"/>
          <w:bCs/>
          <w:sz w:val="30"/>
          <w:szCs w:val="30"/>
        </w:rPr>
        <w:t>以上，曝气能耗节约</w:t>
      </w:r>
      <w:r w:rsidRPr="00DE5A81">
        <w:rPr>
          <w:rFonts w:ascii="Times New Roman" w:eastAsia="仿宋_GB2312" w:hAnsi="Times New Roman" w:cs="Times New Roman" w:hint="eastAsia"/>
          <w:bCs/>
          <w:sz w:val="30"/>
          <w:szCs w:val="30"/>
        </w:rPr>
        <w:t>20%</w:t>
      </w:r>
      <w:r w:rsidRPr="00DE5A81">
        <w:rPr>
          <w:rFonts w:ascii="Times New Roman" w:eastAsia="仿宋_GB2312" w:hAnsi="Times New Roman" w:cs="Times New Roman" w:hint="eastAsia"/>
          <w:bCs/>
          <w:sz w:val="30"/>
          <w:szCs w:val="30"/>
        </w:rPr>
        <w:t>以上，剩余污泥减量</w:t>
      </w:r>
      <w:r w:rsidRPr="00DE5A81">
        <w:rPr>
          <w:rFonts w:ascii="Times New Roman" w:eastAsia="仿宋_GB2312" w:hAnsi="Times New Roman" w:cs="Times New Roman" w:hint="eastAsia"/>
          <w:bCs/>
          <w:sz w:val="30"/>
          <w:szCs w:val="30"/>
        </w:rPr>
        <w:t>30%</w:t>
      </w:r>
      <w:r w:rsidRPr="00DE5A81">
        <w:rPr>
          <w:rFonts w:ascii="Times New Roman" w:eastAsia="仿宋_GB2312" w:hAnsi="Times New Roman" w:cs="Times New Roman" w:hint="eastAsia"/>
          <w:bCs/>
          <w:sz w:val="30"/>
          <w:szCs w:val="30"/>
        </w:rPr>
        <w:t>以上，显著降低运行成本。</w:t>
      </w:r>
    </w:p>
    <w:p w14:paraId="11166352" w14:textId="77777777" w:rsidR="00757D9B" w:rsidRDefault="00DE5A81" w:rsidP="00DE5A81">
      <w:pPr>
        <w:adjustRightInd w:val="0"/>
        <w:snapToGrid w:val="0"/>
        <w:spacing w:line="540" w:lineRule="exact"/>
        <w:ind w:firstLineChars="200" w:firstLine="600"/>
        <w:rPr>
          <w:rFonts w:ascii="Times New Roman" w:eastAsia="仿宋_GB2312" w:hAnsi="Times New Roman" w:cs="Times New Roman"/>
          <w:bCs/>
          <w:sz w:val="30"/>
          <w:szCs w:val="30"/>
        </w:rPr>
      </w:pPr>
      <w:r w:rsidRPr="00DE5A81">
        <w:rPr>
          <w:rFonts w:ascii="Times New Roman" w:eastAsia="仿宋_GB2312" w:hAnsi="Times New Roman" w:cs="Times New Roman" w:hint="eastAsia"/>
          <w:bCs/>
          <w:sz w:val="30"/>
          <w:szCs w:val="30"/>
        </w:rPr>
        <w:t xml:space="preserve">3. </w:t>
      </w:r>
      <w:r w:rsidRPr="00DE5A81">
        <w:rPr>
          <w:rFonts w:ascii="Times New Roman" w:eastAsia="仿宋_GB2312" w:hAnsi="Times New Roman" w:cs="Times New Roman" w:hint="eastAsia"/>
          <w:bCs/>
          <w:sz w:val="30"/>
          <w:szCs w:val="30"/>
        </w:rPr>
        <w:t>该技术已应用于济南市某城镇生活污水处理项目技术改造工程，出水氨氮、总磷、总氮、化学需氧量、悬浮物等主要指标稳定达到《城镇污水处理厂水污染物排放标准》（</w:t>
      </w:r>
      <w:r w:rsidRPr="00DE5A81">
        <w:rPr>
          <w:rFonts w:ascii="Times New Roman" w:eastAsia="仿宋_GB2312" w:hAnsi="Times New Roman" w:cs="Times New Roman" w:hint="eastAsia"/>
          <w:bCs/>
          <w:sz w:val="30"/>
          <w:szCs w:val="30"/>
        </w:rPr>
        <w:t>GB18918-2002</w:t>
      </w:r>
      <w:r w:rsidRPr="00DE5A81">
        <w:rPr>
          <w:rFonts w:ascii="Times New Roman" w:eastAsia="仿宋_GB2312" w:hAnsi="Times New Roman" w:cs="Times New Roman" w:hint="eastAsia"/>
          <w:bCs/>
          <w:sz w:val="30"/>
          <w:szCs w:val="30"/>
        </w:rPr>
        <w:t>）一级Ａ标准和地方相关要求。</w:t>
      </w:r>
      <w:r w:rsidR="00757D9B" w:rsidRPr="005040D8">
        <w:rPr>
          <w:rFonts w:ascii="Times New Roman" w:eastAsia="仿宋_GB2312" w:hAnsi="Times New Roman" w:cs="Times New Roman" w:hint="eastAsia"/>
          <w:bCs/>
          <w:sz w:val="30"/>
          <w:szCs w:val="30"/>
        </w:rPr>
        <w:t xml:space="preserve"> </w:t>
      </w:r>
    </w:p>
    <w:p w14:paraId="22ECFC82" w14:textId="2CAB3916" w:rsidR="00DE5A81" w:rsidRDefault="00DE5A81" w:rsidP="00DE5A81">
      <w:pPr>
        <w:adjustRightInd w:val="0"/>
        <w:snapToGrid w:val="0"/>
        <w:spacing w:line="54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三</w:t>
      </w:r>
      <w:r w:rsidRPr="00DE5A81">
        <w:rPr>
          <w:rFonts w:ascii="Times New Roman" w:eastAsia="仿宋_GB2312" w:hAnsi="Times New Roman" w:cs="Times New Roman"/>
          <w:b/>
          <w:bCs/>
          <w:sz w:val="30"/>
          <w:szCs w:val="30"/>
        </w:rPr>
        <w:t>、</w:t>
      </w:r>
      <w:r w:rsidRPr="00DE5A81">
        <w:rPr>
          <w:rFonts w:ascii="Times New Roman" w:eastAsia="仿宋_GB2312" w:hAnsi="Times New Roman" w:cs="Times New Roman" w:hint="eastAsia"/>
          <w:b/>
          <w:bCs/>
          <w:sz w:val="30"/>
          <w:szCs w:val="30"/>
        </w:rPr>
        <w:t>“</w:t>
      </w:r>
      <w:r w:rsidR="00A66A72" w:rsidRPr="00A66A72">
        <w:rPr>
          <w:rFonts w:ascii="Times New Roman" w:eastAsia="仿宋_GB2312" w:hAnsi="Times New Roman" w:cs="Times New Roman" w:hint="eastAsia"/>
          <w:b/>
          <w:bCs/>
          <w:sz w:val="30"/>
          <w:szCs w:val="30"/>
        </w:rPr>
        <w:t>基于调控掺杂纳米金刚石薄膜电极组合的水体</w:t>
      </w:r>
      <w:r w:rsidR="00A66A72" w:rsidRPr="00A66A72">
        <w:rPr>
          <w:rFonts w:ascii="Times New Roman" w:eastAsia="仿宋_GB2312" w:hAnsi="Times New Roman" w:cs="Times New Roman" w:hint="eastAsia"/>
          <w:b/>
          <w:bCs/>
          <w:sz w:val="30"/>
          <w:szCs w:val="30"/>
        </w:rPr>
        <w:t>-</w:t>
      </w:r>
      <w:r w:rsidR="00A66A72" w:rsidRPr="00A66A72">
        <w:rPr>
          <w:rFonts w:ascii="Times New Roman" w:eastAsia="仿宋_GB2312" w:hAnsi="Times New Roman" w:cs="Times New Roman" w:hint="eastAsia"/>
          <w:b/>
          <w:bCs/>
          <w:sz w:val="30"/>
          <w:szCs w:val="30"/>
        </w:rPr>
        <w:t>底泥共治</w:t>
      </w:r>
      <w:r w:rsidRPr="00DE5A81">
        <w:rPr>
          <w:rFonts w:ascii="Times New Roman" w:eastAsia="仿宋_GB2312" w:hAnsi="Times New Roman" w:cs="Times New Roman" w:hint="eastAsia"/>
          <w:b/>
          <w:bCs/>
          <w:sz w:val="30"/>
          <w:szCs w:val="30"/>
        </w:rPr>
        <w:t>”技术</w:t>
      </w:r>
    </w:p>
    <w:p w14:paraId="0B8F4372" w14:textId="77777777" w:rsidR="00A66A72" w:rsidRPr="00A66A72" w:rsidRDefault="00A66A72" w:rsidP="00A66A72">
      <w:pPr>
        <w:adjustRightInd w:val="0"/>
        <w:snapToGrid w:val="0"/>
        <w:spacing w:line="540" w:lineRule="exact"/>
        <w:ind w:firstLineChars="200" w:firstLine="600"/>
        <w:rPr>
          <w:rFonts w:ascii="Times New Roman" w:eastAsia="仿宋_GB2312" w:hAnsi="Times New Roman" w:cs="Times New Roman"/>
          <w:bCs/>
          <w:sz w:val="30"/>
          <w:szCs w:val="30"/>
        </w:rPr>
      </w:pPr>
      <w:r w:rsidRPr="00A66A72">
        <w:rPr>
          <w:rFonts w:ascii="Times New Roman" w:eastAsia="仿宋_GB2312" w:hAnsi="Times New Roman" w:cs="Times New Roman" w:hint="eastAsia"/>
          <w:bCs/>
          <w:sz w:val="30"/>
          <w:szCs w:val="30"/>
        </w:rPr>
        <w:t>2021</w:t>
      </w:r>
      <w:r w:rsidRPr="00A66A72">
        <w:rPr>
          <w:rFonts w:ascii="Times New Roman" w:eastAsia="仿宋_GB2312" w:hAnsi="Times New Roman" w:cs="Times New Roman" w:hint="eastAsia"/>
          <w:bCs/>
          <w:sz w:val="30"/>
          <w:szCs w:val="30"/>
        </w:rPr>
        <w:t>年</w:t>
      </w:r>
      <w:r w:rsidRPr="00A66A72">
        <w:rPr>
          <w:rFonts w:ascii="Times New Roman" w:eastAsia="仿宋_GB2312" w:hAnsi="Times New Roman" w:cs="Times New Roman" w:hint="eastAsia"/>
          <w:bCs/>
          <w:sz w:val="30"/>
          <w:szCs w:val="30"/>
        </w:rPr>
        <w:t>12</w:t>
      </w:r>
      <w:r w:rsidRPr="00A66A72">
        <w:rPr>
          <w:rFonts w:ascii="Times New Roman" w:eastAsia="仿宋_GB2312" w:hAnsi="Times New Roman" w:cs="Times New Roman" w:hint="eastAsia"/>
          <w:bCs/>
          <w:sz w:val="30"/>
          <w:szCs w:val="30"/>
        </w:rPr>
        <w:t>月，生态环境部环境发展中心接受上海金铎禹辰水环境工程有限公司委托，开展了“基于调控掺杂纳米金刚石薄膜电极组合的水体</w:t>
      </w:r>
      <w:r w:rsidRPr="00A66A72">
        <w:rPr>
          <w:rFonts w:ascii="Times New Roman" w:eastAsia="仿宋_GB2312" w:hAnsi="Times New Roman" w:cs="Times New Roman" w:hint="eastAsia"/>
          <w:bCs/>
          <w:sz w:val="30"/>
          <w:szCs w:val="30"/>
        </w:rPr>
        <w:t>-</w:t>
      </w:r>
      <w:r w:rsidRPr="00A66A72">
        <w:rPr>
          <w:rFonts w:ascii="Times New Roman" w:eastAsia="仿宋_GB2312" w:hAnsi="Times New Roman" w:cs="Times New Roman" w:hint="eastAsia"/>
          <w:bCs/>
          <w:sz w:val="30"/>
          <w:szCs w:val="30"/>
        </w:rPr>
        <w:t>底泥共治技术”评估，综合第三方测试报告、专家咨询等情况，形成如下综合评估结论：</w:t>
      </w:r>
    </w:p>
    <w:p w14:paraId="121B2AAF" w14:textId="3A8E1CFB" w:rsidR="00A66A72" w:rsidRPr="00A66A72" w:rsidRDefault="00A66A72" w:rsidP="00A66A72">
      <w:pPr>
        <w:adjustRightInd w:val="0"/>
        <w:snapToGrid w:val="0"/>
        <w:spacing w:line="540" w:lineRule="exact"/>
        <w:ind w:firstLineChars="200" w:firstLine="600"/>
        <w:rPr>
          <w:rFonts w:ascii="Times New Roman" w:eastAsia="仿宋_GB2312" w:hAnsi="Times New Roman" w:cs="Times New Roman"/>
          <w:bCs/>
          <w:sz w:val="30"/>
          <w:szCs w:val="30"/>
        </w:rPr>
      </w:pPr>
      <w:r w:rsidRPr="00A66A72">
        <w:rPr>
          <w:rFonts w:ascii="Times New Roman" w:eastAsia="仿宋_GB2312" w:hAnsi="Times New Roman" w:cs="Times New Roman" w:hint="eastAsia"/>
          <w:bCs/>
          <w:sz w:val="30"/>
          <w:szCs w:val="30"/>
        </w:rPr>
        <w:lastRenderedPageBreak/>
        <w:t xml:space="preserve">1. </w:t>
      </w:r>
      <w:r w:rsidRPr="00A66A72">
        <w:rPr>
          <w:rFonts w:ascii="Times New Roman" w:eastAsia="仿宋_GB2312" w:hAnsi="Times New Roman" w:cs="Times New Roman" w:hint="eastAsia"/>
          <w:bCs/>
          <w:sz w:val="30"/>
          <w:szCs w:val="30"/>
        </w:rPr>
        <w:t>该技术依托合作研发的纳米金刚石薄膜的电极组合，开发了水体</w:t>
      </w:r>
      <w:r w:rsidRPr="00A66A72">
        <w:rPr>
          <w:rFonts w:ascii="Times New Roman" w:eastAsia="仿宋_GB2312" w:hAnsi="Times New Roman" w:cs="Times New Roman" w:hint="eastAsia"/>
          <w:bCs/>
          <w:sz w:val="30"/>
          <w:szCs w:val="30"/>
        </w:rPr>
        <w:t>-</w:t>
      </w:r>
      <w:r w:rsidRPr="00A66A72">
        <w:rPr>
          <w:rFonts w:ascii="Times New Roman" w:eastAsia="仿宋_GB2312" w:hAnsi="Times New Roman" w:cs="Times New Roman" w:hint="eastAsia"/>
          <w:bCs/>
          <w:sz w:val="30"/>
          <w:szCs w:val="30"/>
        </w:rPr>
        <w:t>底泥共治装置及控制系统，通过低压电场驱动促进电子转移和光化学反应，并在一定范围内提高水体的溶解氧含量，提升水体自净能力</w:t>
      </w:r>
      <w:r w:rsidR="00C72771">
        <w:rPr>
          <w:rFonts w:ascii="Times New Roman" w:eastAsia="仿宋_GB2312" w:hAnsi="Times New Roman" w:cs="Times New Roman" w:hint="eastAsia"/>
          <w:bCs/>
          <w:sz w:val="30"/>
          <w:szCs w:val="30"/>
        </w:rPr>
        <w:t>。该技术</w:t>
      </w:r>
      <w:r w:rsidRPr="00A66A72">
        <w:rPr>
          <w:rFonts w:ascii="Times New Roman" w:eastAsia="仿宋_GB2312" w:hAnsi="Times New Roman" w:cs="Times New Roman" w:hint="eastAsia"/>
          <w:bCs/>
          <w:sz w:val="30"/>
          <w:szCs w:val="30"/>
        </w:rPr>
        <w:t>适用于受污染水体治理和水质改善。</w:t>
      </w:r>
    </w:p>
    <w:p w14:paraId="37412CE1" w14:textId="46E6C84F" w:rsidR="00A66A72" w:rsidRPr="00A66A72" w:rsidRDefault="00A66A72" w:rsidP="00A66A72">
      <w:pPr>
        <w:adjustRightInd w:val="0"/>
        <w:snapToGrid w:val="0"/>
        <w:spacing w:line="540" w:lineRule="exact"/>
        <w:ind w:firstLineChars="200" w:firstLine="600"/>
        <w:rPr>
          <w:rFonts w:ascii="Times New Roman" w:eastAsia="仿宋_GB2312" w:hAnsi="Times New Roman" w:cs="Times New Roman"/>
          <w:bCs/>
          <w:sz w:val="30"/>
          <w:szCs w:val="30"/>
        </w:rPr>
      </w:pPr>
      <w:r w:rsidRPr="00A66A72">
        <w:rPr>
          <w:rFonts w:ascii="Times New Roman" w:eastAsia="仿宋_GB2312" w:hAnsi="Times New Roman" w:cs="Times New Roman" w:hint="eastAsia"/>
          <w:bCs/>
          <w:sz w:val="30"/>
          <w:szCs w:val="30"/>
        </w:rPr>
        <w:t xml:space="preserve">2. </w:t>
      </w:r>
      <w:r w:rsidRPr="00A66A72">
        <w:rPr>
          <w:rFonts w:ascii="Times New Roman" w:eastAsia="仿宋_GB2312" w:hAnsi="Times New Roman" w:cs="Times New Roman" w:hint="eastAsia"/>
          <w:bCs/>
          <w:sz w:val="30"/>
          <w:szCs w:val="30"/>
        </w:rPr>
        <w:t>该技术符合当前对于河湖原位治理和修复的政策导向，以该技术“纳米金刚石薄膜的电极组合”为核心开发的水体</w:t>
      </w:r>
      <w:r w:rsidRPr="00A66A72">
        <w:rPr>
          <w:rFonts w:ascii="Times New Roman" w:eastAsia="仿宋_GB2312" w:hAnsi="Times New Roman" w:cs="Times New Roman" w:hint="eastAsia"/>
          <w:bCs/>
          <w:sz w:val="30"/>
          <w:szCs w:val="30"/>
        </w:rPr>
        <w:t>-</w:t>
      </w:r>
      <w:r w:rsidRPr="00A66A72">
        <w:rPr>
          <w:rFonts w:ascii="Times New Roman" w:eastAsia="仿宋_GB2312" w:hAnsi="Times New Roman" w:cs="Times New Roman" w:hint="eastAsia"/>
          <w:bCs/>
          <w:sz w:val="30"/>
          <w:szCs w:val="30"/>
        </w:rPr>
        <w:t>底泥共治装置，目前已实现标准化生产和产业化应用，具有较低运行成本、低能耗、高适用性的特点。</w:t>
      </w:r>
    </w:p>
    <w:p w14:paraId="31A7336B" w14:textId="5A637B25" w:rsidR="00A66A72" w:rsidRPr="00A66A72" w:rsidRDefault="00A66A72" w:rsidP="00A66A72">
      <w:pPr>
        <w:adjustRightInd w:val="0"/>
        <w:snapToGrid w:val="0"/>
        <w:spacing w:line="540" w:lineRule="exact"/>
        <w:ind w:firstLineChars="200" w:firstLine="600"/>
        <w:rPr>
          <w:rFonts w:ascii="Times New Roman" w:eastAsia="仿宋_GB2312" w:hAnsi="Times New Roman" w:cs="Times New Roman"/>
          <w:bCs/>
          <w:sz w:val="30"/>
          <w:szCs w:val="30"/>
        </w:rPr>
      </w:pPr>
      <w:r w:rsidRPr="00A66A72">
        <w:rPr>
          <w:rFonts w:ascii="Times New Roman" w:eastAsia="仿宋_GB2312" w:hAnsi="Times New Roman" w:cs="Times New Roman" w:hint="eastAsia"/>
          <w:bCs/>
          <w:sz w:val="30"/>
          <w:szCs w:val="30"/>
        </w:rPr>
        <w:t xml:space="preserve">3. </w:t>
      </w:r>
      <w:r w:rsidRPr="00A66A72">
        <w:rPr>
          <w:rFonts w:ascii="Times New Roman" w:eastAsia="仿宋_GB2312" w:hAnsi="Times New Roman" w:cs="Times New Roman" w:hint="eastAsia"/>
          <w:bCs/>
          <w:sz w:val="30"/>
          <w:szCs w:val="30"/>
        </w:rPr>
        <w:t>该技术在黑龙江、安徽、上海等地的河湖治理和水质提升应用案例中效果较为明显，用户反馈良好。</w:t>
      </w:r>
    </w:p>
    <w:p w14:paraId="789FD825" w14:textId="77777777" w:rsidR="00DE5A81" w:rsidRPr="00DE5A81" w:rsidRDefault="00DE5A81" w:rsidP="00DE5A81">
      <w:pPr>
        <w:adjustRightInd w:val="0"/>
        <w:snapToGrid w:val="0"/>
        <w:spacing w:line="540" w:lineRule="exact"/>
        <w:ind w:firstLineChars="200" w:firstLine="600"/>
        <w:rPr>
          <w:rFonts w:ascii="Times New Roman" w:eastAsia="仿宋_GB2312" w:hAnsi="Times New Roman" w:cs="Times New Roman"/>
          <w:bCs/>
          <w:sz w:val="30"/>
          <w:szCs w:val="30"/>
        </w:rPr>
      </w:pPr>
    </w:p>
    <w:p w14:paraId="27340A3D" w14:textId="77777777" w:rsidR="00DE5A81" w:rsidRDefault="00DE5A81" w:rsidP="00757D9B">
      <w:pPr>
        <w:adjustRightInd w:val="0"/>
        <w:snapToGrid w:val="0"/>
        <w:spacing w:line="360" w:lineRule="auto"/>
        <w:ind w:leftChars="200" w:left="420"/>
        <w:jc w:val="right"/>
        <w:rPr>
          <w:rFonts w:ascii="Times New Roman" w:eastAsia="仿宋_GB2312" w:hAnsi="Times New Roman" w:cs="Times New Roman"/>
          <w:bCs/>
          <w:sz w:val="30"/>
          <w:szCs w:val="30"/>
        </w:rPr>
      </w:pPr>
    </w:p>
    <w:p w14:paraId="12799750" w14:textId="77777777" w:rsidR="00DE5A81" w:rsidRDefault="00DE5A81" w:rsidP="00757D9B">
      <w:pPr>
        <w:adjustRightInd w:val="0"/>
        <w:snapToGrid w:val="0"/>
        <w:spacing w:line="360" w:lineRule="auto"/>
        <w:ind w:leftChars="200" w:left="420"/>
        <w:jc w:val="right"/>
        <w:rPr>
          <w:rFonts w:ascii="Times New Roman" w:eastAsia="仿宋_GB2312" w:hAnsi="Times New Roman" w:cs="Times New Roman"/>
          <w:bCs/>
          <w:sz w:val="30"/>
          <w:szCs w:val="30"/>
        </w:rPr>
      </w:pPr>
    </w:p>
    <w:p w14:paraId="5DAE80AC" w14:textId="77777777" w:rsidR="00DE5A81" w:rsidRDefault="00DE5A81" w:rsidP="00757D9B">
      <w:pPr>
        <w:adjustRightInd w:val="0"/>
        <w:snapToGrid w:val="0"/>
        <w:spacing w:line="360" w:lineRule="auto"/>
        <w:ind w:leftChars="200" w:left="420"/>
        <w:jc w:val="right"/>
        <w:rPr>
          <w:rFonts w:ascii="Times New Roman" w:eastAsia="仿宋_GB2312" w:hAnsi="Times New Roman" w:cs="Times New Roman"/>
          <w:bCs/>
          <w:sz w:val="30"/>
          <w:szCs w:val="30"/>
        </w:rPr>
      </w:pPr>
    </w:p>
    <w:p w14:paraId="0A8B318F" w14:textId="5C65DD9F" w:rsidR="00F56B76" w:rsidRPr="005040D8" w:rsidRDefault="00285C58" w:rsidP="00757D9B">
      <w:pPr>
        <w:adjustRightInd w:val="0"/>
        <w:snapToGrid w:val="0"/>
        <w:spacing w:line="360" w:lineRule="auto"/>
        <w:ind w:leftChars="200" w:left="420"/>
        <w:jc w:val="right"/>
        <w:rPr>
          <w:rFonts w:ascii="Times New Roman" w:eastAsia="仿宋_GB2312" w:hAnsi="Times New Roman"/>
        </w:rPr>
      </w:pPr>
      <w:r w:rsidRPr="005040D8">
        <w:rPr>
          <w:rFonts w:ascii="Times New Roman" w:eastAsia="仿宋_GB2312" w:hAnsi="Times New Roman" w:cs="Times New Roman" w:hint="eastAsia"/>
          <w:bCs/>
          <w:sz w:val="30"/>
          <w:szCs w:val="30"/>
        </w:rPr>
        <w:t>2022</w:t>
      </w:r>
      <w:r w:rsidRPr="005040D8">
        <w:rPr>
          <w:rFonts w:ascii="Times New Roman" w:eastAsia="仿宋_GB2312" w:hAnsi="Times New Roman" w:cs="Times New Roman" w:hint="eastAsia"/>
          <w:bCs/>
          <w:sz w:val="30"/>
          <w:szCs w:val="30"/>
        </w:rPr>
        <w:t>年</w:t>
      </w:r>
      <w:r w:rsidRPr="005040D8">
        <w:rPr>
          <w:rFonts w:ascii="Times New Roman" w:eastAsia="仿宋_GB2312" w:hAnsi="Times New Roman" w:cs="Times New Roman" w:hint="eastAsia"/>
          <w:bCs/>
          <w:sz w:val="30"/>
          <w:szCs w:val="30"/>
        </w:rPr>
        <w:t>1</w:t>
      </w:r>
      <w:r w:rsidR="008317A3">
        <w:rPr>
          <w:rFonts w:ascii="Times New Roman" w:eastAsia="仿宋_GB2312" w:hAnsi="Times New Roman" w:cs="Times New Roman"/>
          <w:bCs/>
          <w:sz w:val="30"/>
          <w:szCs w:val="30"/>
        </w:rPr>
        <w:t>0</w:t>
      </w:r>
      <w:r w:rsidRPr="005040D8">
        <w:rPr>
          <w:rFonts w:ascii="Times New Roman" w:eastAsia="仿宋_GB2312" w:hAnsi="Times New Roman" w:cs="Times New Roman" w:hint="eastAsia"/>
          <w:bCs/>
          <w:sz w:val="30"/>
          <w:szCs w:val="30"/>
        </w:rPr>
        <w:t>月</w:t>
      </w:r>
      <w:r w:rsidRPr="005040D8">
        <w:rPr>
          <w:rFonts w:ascii="Times New Roman" w:eastAsia="仿宋_GB2312" w:hAnsi="Times New Roman" w:cs="Times New Roman" w:hint="eastAsia"/>
          <w:bCs/>
          <w:sz w:val="30"/>
          <w:szCs w:val="30"/>
        </w:rPr>
        <w:t>1</w:t>
      </w:r>
      <w:r w:rsidR="005042B3">
        <w:rPr>
          <w:rFonts w:ascii="Times New Roman" w:eastAsia="仿宋_GB2312" w:hAnsi="Times New Roman" w:cs="Times New Roman"/>
          <w:bCs/>
          <w:sz w:val="30"/>
          <w:szCs w:val="30"/>
        </w:rPr>
        <w:t>2</w:t>
      </w:r>
      <w:bookmarkStart w:id="0" w:name="_GoBack"/>
      <w:bookmarkEnd w:id="0"/>
      <w:r w:rsidRPr="005040D8">
        <w:rPr>
          <w:rFonts w:ascii="Times New Roman" w:eastAsia="仿宋_GB2312" w:hAnsi="Times New Roman" w:cs="Times New Roman" w:hint="eastAsia"/>
          <w:bCs/>
          <w:sz w:val="30"/>
          <w:szCs w:val="30"/>
        </w:rPr>
        <w:t>日</w:t>
      </w:r>
    </w:p>
    <w:sectPr w:rsidR="00F56B76" w:rsidRPr="005040D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84DB7" w14:textId="77777777" w:rsidR="001C3369" w:rsidRDefault="001C3369" w:rsidP="00757D9B">
      <w:r>
        <w:separator/>
      </w:r>
    </w:p>
  </w:endnote>
  <w:endnote w:type="continuationSeparator" w:id="0">
    <w:p w14:paraId="174B5693" w14:textId="77777777" w:rsidR="001C3369" w:rsidRDefault="001C3369" w:rsidP="0075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110006"/>
      <w:docPartObj>
        <w:docPartGallery w:val="Page Numbers (Bottom of Page)"/>
        <w:docPartUnique/>
      </w:docPartObj>
    </w:sdtPr>
    <w:sdtEndPr/>
    <w:sdtContent>
      <w:p w14:paraId="43891A8C" w14:textId="1D5E479D" w:rsidR="00DE5A81" w:rsidRDefault="00DE5A81">
        <w:pPr>
          <w:pStyle w:val="a6"/>
          <w:jc w:val="center"/>
        </w:pPr>
        <w:r>
          <w:fldChar w:fldCharType="begin"/>
        </w:r>
        <w:r>
          <w:instrText>PAGE   \* MERGEFORMAT</w:instrText>
        </w:r>
        <w:r>
          <w:fldChar w:fldCharType="separate"/>
        </w:r>
        <w:r w:rsidR="005042B3" w:rsidRPr="005042B3">
          <w:rPr>
            <w:noProof/>
            <w:lang w:val="zh-CN"/>
          </w:rPr>
          <w:t>3</w:t>
        </w:r>
        <w:r>
          <w:fldChar w:fldCharType="end"/>
        </w:r>
      </w:p>
    </w:sdtContent>
  </w:sdt>
  <w:p w14:paraId="7DCC4D4A" w14:textId="77777777" w:rsidR="00DE5A81" w:rsidRDefault="00DE5A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CABC5" w14:textId="77777777" w:rsidR="001C3369" w:rsidRDefault="001C3369" w:rsidP="00757D9B">
      <w:r>
        <w:separator/>
      </w:r>
    </w:p>
  </w:footnote>
  <w:footnote w:type="continuationSeparator" w:id="0">
    <w:p w14:paraId="5231B562" w14:textId="77777777" w:rsidR="001C3369" w:rsidRDefault="001C3369" w:rsidP="0075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25C74"/>
    <w:multiLevelType w:val="singleLevel"/>
    <w:tmpl w:val="39125C7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F3D88"/>
    <w:rsid w:val="00037863"/>
    <w:rsid w:val="001C3369"/>
    <w:rsid w:val="00285C58"/>
    <w:rsid w:val="003900F5"/>
    <w:rsid w:val="004739EA"/>
    <w:rsid w:val="004C0217"/>
    <w:rsid w:val="005040D8"/>
    <w:rsid w:val="005042B3"/>
    <w:rsid w:val="00757D9B"/>
    <w:rsid w:val="008317A3"/>
    <w:rsid w:val="00A66A72"/>
    <w:rsid w:val="00A80CDE"/>
    <w:rsid w:val="00C72771"/>
    <w:rsid w:val="00DE5A81"/>
    <w:rsid w:val="00F56B76"/>
    <w:rsid w:val="00FD1617"/>
    <w:rsid w:val="133F3D88"/>
    <w:rsid w:val="2D755604"/>
    <w:rsid w:val="4AD565B7"/>
    <w:rsid w:val="72F81EDB"/>
    <w:rsid w:val="7DF4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E817"/>
  <w15:docId w15:val="{F676FA91-FE79-4E6C-8B19-00F9C4B4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header"/>
    <w:basedOn w:val="a"/>
    <w:link w:val="a5"/>
    <w:rsid w:val="00757D9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57D9B"/>
    <w:rPr>
      <w:kern w:val="2"/>
      <w:sz w:val="18"/>
      <w:szCs w:val="18"/>
    </w:rPr>
  </w:style>
  <w:style w:type="paragraph" w:styleId="a6">
    <w:name w:val="footer"/>
    <w:basedOn w:val="a"/>
    <w:link w:val="a7"/>
    <w:uiPriority w:val="99"/>
    <w:rsid w:val="00757D9B"/>
    <w:pPr>
      <w:tabs>
        <w:tab w:val="center" w:pos="4153"/>
        <w:tab w:val="right" w:pos="8306"/>
      </w:tabs>
      <w:snapToGrid w:val="0"/>
      <w:jc w:val="left"/>
    </w:pPr>
    <w:rPr>
      <w:sz w:val="18"/>
      <w:szCs w:val="18"/>
    </w:rPr>
  </w:style>
  <w:style w:type="character" w:customStyle="1" w:styleId="a7">
    <w:name w:val="页脚 字符"/>
    <w:basedOn w:val="a0"/>
    <w:link w:val="a6"/>
    <w:uiPriority w:val="99"/>
    <w:rsid w:val="00757D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225</Words>
  <Characters>1289</Characters>
  <Application>Microsoft Office Word</Application>
  <DocSecurity>0</DocSecurity>
  <Lines>10</Lines>
  <Paragraphs>3</Paragraphs>
  <ScaleCrop>false</ScaleCrop>
  <Company>Microsoft</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丁鑫</cp:lastModifiedBy>
  <cp:revision>11</cp:revision>
  <dcterms:created xsi:type="dcterms:W3CDTF">2022-01-14T06:43:00Z</dcterms:created>
  <dcterms:modified xsi:type="dcterms:W3CDTF">2022-10-12T09:28:00Z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1D5928AC944B4013988313FFAE84CC7A</vt:lpwstr>
  </property>
</Properties>
</file>