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837A3" w14:textId="2F0AE234" w:rsidR="0033554C" w:rsidRDefault="0033554C"/>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2"/>
      </w:tblGrid>
      <w:tr w:rsidR="00E52F22" w14:paraId="4A969248" w14:textId="77777777" w:rsidTr="00A36054">
        <w:trPr>
          <w:trHeight w:val="522"/>
          <w:jc w:val="center"/>
        </w:trPr>
        <w:tc>
          <w:tcPr>
            <w:tcW w:w="8842" w:type="dxa"/>
            <w:vAlign w:val="center"/>
          </w:tcPr>
          <w:p w14:paraId="15C53BDF" w14:textId="77777777" w:rsidR="00E52F22" w:rsidRDefault="00E52F22" w:rsidP="00A36054">
            <w:pPr>
              <w:adjustRightInd w:val="0"/>
              <w:snapToGrid w:val="0"/>
              <w:jc w:val="center"/>
              <w:rPr>
                <w:szCs w:val="24"/>
              </w:rPr>
            </w:pPr>
            <w:r>
              <w:rPr>
                <w:b/>
                <w:spacing w:val="80"/>
                <w:sz w:val="24"/>
              </w:rPr>
              <w:t>综合评估结论</w:t>
            </w:r>
          </w:p>
        </w:tc>
      </w:tr>
      <w:tr w:rsidR="00E52F22" w14:paraId="4BF125C4" w14:textId="77777777" w:rsidTr="00A36054">
        <w:trPr>
          <w:trHeight w:val="2247"/>
          <w:jc w:val="center"/>
        </w:trPr>
        <w:tc>
          <w:tcPr>
            <w:tcW w:w="8842" w:type="dxa"/>
            <w:vAlign w:val="center"/>
          </w:tcPr>
          <w:p w14:paraId="20F4B1C2" w14:textId="77777777" w:rsidR="006E23AC" w:rsidRDefault="006E23AC" w:rsidP="006E23AC">
            <w:pPr>
              <w:adjustRightInd w:val="0"/>
              <w:snapToGrid w:val="0"/>
              <w:spacing w:beforeLines="50" w:before="156" w:line="360" w:lineRule="auto"/>
              <w:ind w:firstLineChars="200" w:firstLine="480"/>
              <w:rPr>
                <w:rFonts w:cs="宋体"/>
                <w:bCs/>
                <w:sz w:val="24"/>
                <w:szCs w:val="24"/>
                <w:shd w:val="clear" w:color="auto" w:fill="FFFFFF"/>
              </w:rPr>
            </w:pPr>
            <w:r>
              <w:rPr>
                <w:rFonts w:cs="宋体" w:hint="eastAsia"/>
                <w:bCs/>
                <w:sz w:val="24"/>
                <w:szCs w:val="24"/>
                <w:shd w:val="clear" w:color="auto" w:fill="FFFFFF"/>
              </w:rPr>
              <w:t>202</w:t>
            </w:r>
            <w:r>
              <w:rPr>
                <w:rFonts w:cs="宋体"/>
                <w:bCs/>
                <w:sz w:val="24"/>
                <w:szCs w:val="24"/>
                <w:shd w:val="clear" w:color="auto" w:fill="FFFFFF"/>
              </w:rPr>
              <w:t>3</w:t>
            </w:r>
            <w:r>
              <w:rPr>
                <w:rFonts w:cs="宋体" w:hint="eastAsia"/>
                <w:bCs/>
                <w:sz w:val="24"/>
                <w:szCs w:val="24"/>
                <w:shd w:val="clear" w:color="auto" w:fill="FFFFFF"/>
              </w:rPr>
              <w:t>年</w:t>
            </w:r>
            <w:r>
              <w:rPr>
                <w:rFonts w:cs="宋体"/>
                <w:bCs/>
                <w:sz w:val="24"/>
                <w:szCs w:val="24"/>
                <w:shd w:val="clear" w:color="auto" w:fill="FFFFFF"/>
              </w:rPr>
              <w:t>11</w:t>
            </w:r>
            <w:r>
              <w:rPr>
                <w:rFonts w:cs="宋体" w:hint="eastAsia"/>
                <w:bCs/>
                <w:sz w:val="24"/>
                <w:szCs w:val="24"/>
                <w:shd w:val="clear" w:color="auto" w:fill="FFFFFF"/>
              </w:rPr>
              <w:t>月，生态环境部环境发展中心接受新疆聚力环保科技有限公司委托，开展“</w:t>
            </w:r>
            <w:r>
              <w:rPr>
                <w:rFonts w:hint="eastAsia"/>
                <w:sz w:val="24"/>
                <w:szCs w:val="24"/>
              </w:rPr>
              <w:t>废润滑油全馏分加氢再生工艺技术</w:t>
            </w:r>
            <w:r>
              <w:rPr>
                <w:rFonts w:cs="宋体" w:hint="eastAsia"/>
                <w:bCs/>
                <w:sz w:val="24"/>
                <w:szCs w:val="24"/>
                <w:shd w:val="clear" w:color="auto" w:fill="FFFFFF"/>
              </w:rPr>
              <w:t>”评估，综合第三方检测报告、专家咨询意见等情况，形成如下综合评估结论：</w:t>
            </w:r>
          </w:p>
          <w:p w14:paraId="66542D7A" w14:textId="77777777" w:rsidR="006E23AC" w:rsidRDefault="006E23AC" w:rsidP="006E23AC">
            <w:pPr>
              <w:numPr>
                <w:ilvl w:val="0"/>
                <w:numId w:val="1"/>
              </w:numPr>
              <w:adjustRightInd w:val="0"/>
              <w:snapToGrid w:val="0"/>
              <w:spacing w:beforeLines="50" w:before="156" w:line="360" w:lineRule="auto"/>
              <w:ind w:left="86" w:firstLine="284"/>
              <w:rPr>
                <w:rFonts w:cs="宋体"/>
                <w:bCs/>
                <w:sz w:val="24"/>
                <w:szCs w:val="24"/>
                <w:shd w:val="clear" w:color="auto" w:fill="FFFFFF"/>
              </w:rPr>
            </w:pPr>
            <w:r>
              <w:rPr>
                <w:rFonts w:cs="宋体" w:hint="eastAsia"/>
                <w:bCs/>
                <w:sz w:val="24"/>
                <w:szCs w:val="24"/>
                <w:shd w:val="clear" w:color="auto" w:fill="FFFFFF"/>
              </w:rPr>
              <w:t>该技术</w:t>
            </w:r>
            <w:r>
              <w:rPr>
                <w:rFonts w:cs="___WRD_EMBED_SUB_48" w:hint="eastAsia"/>
                <w:sz w:val="24"/>
                <w:szCs w:val="24"/>
              </w:rPr>
              <w:t>以</w:t>
            </w:r>
            <w:r>
              <w:rPr>
                <w:rFonts w:cs="___WRD_EMBED_SUB_48"/>
                <w:sz w:val="24"/>
                <w:szCs w:val="24"/>
              </w:rPr>
              <w:t>废润滑油为原料</w:t>
            </w:r>
            <w:r>
              <w:rPr>
                <w:rFonts w:cs="___WRD_EMBED_SUB_48" w:hint="eastAsia"/>
                <w:sz w:val="24"/>
                <w:szCs w:val="24"/>
              </w:rPr>
              <w:t>，通过</w:t>
            </w:r>
            <w:r>
              <w:rPr>
                <w:rFonts w:hint="eastAsia"/>
                <w:sz w:val="24"/>
                <w:szCs w:val="24"/>
              </w:rPr>
              <w:t>预加氢反应脱除硫、氮、氯等杂质，达到加氢精制的条件，反应产物再次与氢气混合加热至</w:t>
            </w:r>
            <w:r>
              <w:rPr>
                <w:rFonts w:hint="eastAsia"/>
                <w:sz w:val="24"/>
                <w:szCs w:val="24"/>
              </w:rPr>
              <w:t>300</w:t>
            </w:r>
            <w:r>
              <w:rPr>
                <w:rFonts w:hint="eastAsia"/>
                <w:sz w:val="24"/>
                <w:szCs w:val="24"/>
              </w:rPr>
              <w:t>℃进入加氢精制反应，进一步脱氧、脱硫、脱氮、脱金属，再经常减压蒸馏后，得到达到</w:t>
            </w:r>
            <w:r>
              <w:rPr>
                <w:rFonts w:hint="eastAsia"/>
                <w:sz w:val="24"/>
                <w:szCs w:val="24"/>
              </w:rPr>
              <w:t>II</w:t>
            </w:r>
            <w:r>
              <w:rPr>
                <w:rFonts w:hint="eastAsia"/>
                <w:sz w:val="24"/>
                <w:szCs w:val="24"/>
              </w:rPr>
              <w:t>类基础</w:t>
            </w:r>
            <w:proofErr w:type="gramStart"/>
            <w:r>
              <w:rPr>
                <w:rFonts w:hint="eastAsia"/>
                <w:sz w:val="24"/>
                <w:szCs w:val="24"/>
              </w:rPr>
              <w:t>油标准</w:t>
            </w:r>
            <w:proofErr w:type="gramEnd"/>
            <w:r>
              <w:rPr>
                <w:rFonts w:hint="eastAsia"/>
                <w:sz w:val="24"/>
                <w:szCs w:val="24"/>
              </w:rPr>
              <w:t>的再生润滑油基础油。</w:t>
            </w:r>
            <w:r>
              <w:rPr>
                <w:rFonts w:cs="___WRD_EMBED_SUB_48" w:hint="eastAsia"/>
                <w:sz w:val="24"/>
                <w:szCs w:val="24"/>
              </w:rPr>
              <w:t>该技术适用于不同类型的废矿物油再生利用，具有较好的适用性。</w:t>
            </w:r>
          </w:p>
          <w:p w14:paraId="46617E88" w14:textId="77777777" w:rsidR="006E23AC" w:rsidRDefault="006E23AC" w:rsidP="006E23AC">
            <w:pPr>
              <w:adjustRightInd w:val="0"/>
              <w:snapToGrid w:val="0"/>
              <w:spacing w:beforeLines="50" w:before="156" w:line="360" w:lineRule="auto"/>
              <w:ind w:firstLineChars="200" w:firstLine="480"/>
              <w:rPr>
                <w:rFonts w:cs="___WRD_EMBED_SUB_48"/>
                <w:sz w:val="24"/>
                <w:szCs w:val="24"/>
              </w:rPr>
            </w:pPr>
            <w:r>
              <w:rPr>
                <w:rFonts w:cs="宋体" w:hint="eastAsia"/>
                <w:bCs/>
                <w:sz w:val="24"/>
                <w:szCs w:val="24"/>
                <w:shd w:val="clear" w:color="auto" w:fill="FFFFFF"/>
              </w:rPr>
              <w:t>2</w:t>
            </w:r>
            <w:r>
              <w:rPr>
                <w:rFonts w:cs="宋体"/>
                <w:bCs/>
                <w:sz w:val="24"/>
                <w:szCs w:val="24"/>
                <w:shd w:val="clear" w:color="auto" w:fill="FFFFFF"/>
              </w:rPr>
              <w:t xml:space="preserve">. </w:t>
            </w:r>
            <w:r>
              <w:rPr>
                <w:rFonts w:cs="___WRD_EMBED_SUB_48" w:hint="eastAsia"/>
                <w:sz w:val="24"/>
                <w:szCs w:val="24"/>
              </w:rPr>
              <w:t>国家发展和改革委员会</w:t>
            </w:r>
            <w:r>
              <w:rPr>
                <w:rFonts w:cs="___WRD_EMBED_SUB_48" w:hint="eastAsia"/>
                <w:sz w:val="24"/>
                <w:szCs w:val="24"/>
              </w:rPr>
              <w:t>2</w:t>
            </w:r>
            <w:r>
              <w:rPr>
                <w:rFonts w:cs="___WRD_EMBED_SUB_48"/>
                <w:sz w:val="24"/>
                <w:szCs w:val="24"/>
              </w:rPr>
              <w:t>017</w:t>
            </w:r>
            <w:r>
              <w:rPr>
                <w:rFonts w:cs="___WRD_EMBED_SUB_48" w:hint="eastAsia"/>
                <w:sz w:val="24"/>
                <w:szCs w:val="24"/>
              </w:rPr>
              <w:t>年将废矿物油再生利用列入国家战略性新兴产业重点产品和服务指导目录，该技术符合国家相关产业政策要求。</w:t>
            </w:r>
            <w:r>
              <w:rPr>
                <w:rFonts w:cs="方正仿宋_GB2312" w:hint="eastAsia"/>
                <w:sz w:val="24"/>
                <w:szCs w:val="24"/>
              </w:rPr>
              <w:t>采用全馏分加氢工艺，提高了产品收率和品质，大幅减少固体废物产生量，减少了二次污染，有效延长了催化剂的使用寿命和加氢精制装置运行周期。该技术</w:t>
            </w:r>
            <w:r>
              <w:rPr>
                <w:rFonts w:cs="___WRD_EMBED_SUB_48" w:hint="eastAsia"/>
                <w:sz w:val="24"/>
                <w:szCs w:val="24"/>
              </w:rPr>
              <w:t>已获</w:t>
            </w:r>
            <w:r>
              <w:rPr>
                <w:rFonts w:cs="___WRD_EMBED_SUB_48" w:hint="eastAsia"/>
                <w:sz w:val="24"/>
                <w:szCs w:val="24"/>
              </w:rPr>
              <w:t>4</w:t>
            </w:r>
            <w:r>
              <w:rPr>
                <w:rFonts w:cs="___WRD_EMBED_SUB_48" w:hint="eastAsia"/>
                <w:sz w:val="24"/>
                <w:szCs w:val="24"/>
              </w:rPr>
              <w:t>项发明专利和</w:t>
            </w:r>
            <w:r>
              <w:rPr>
                <w:rFonts w:cs="___WRD_EMBED_SUB_48" w:hint="eastAsia"/>
                <w:sz w:val="24"/>
                <w:szCs w:val="24"/>
              </w:rPr>
              <w:t>6</w:t>
            </w:r>
            <w:r>
              <w:rPr>
                <w:rFonts w:cs="___WRD_EMBED_SUB_48" w:hint="eastAsia"/>
                <w:sz w:val="24"/>
                <w:szCs w:val="24"/>
              </w:rPr>
              <w:t>项实用新型专利授权。</w:t>
            </w:r>
          </w:p>
          <w:p w14:paraId="253FFFC0" w14:textId="77777777" w:rsidR="006E23AC" w:rsidRDefault="006E23AC" w:rsidP="006E23AC">
            <w:pPr>
              <w:adjustRightInd w:val="0"/>
              <w:snapToGrid w:val="0"/>
              <w:spacing w:beforeLines="50" w:before="156" w:line="360" w:lineRule="auto"/>
              <w:ind w:firstLineChars="200" w:firstLine="480"/>
              <w:rPr>
                <w:rFonts w:cs="宋体" w:hint="eastAsia"/>
                <w:bCs/>
                <w:sz w:val="24"/>
                <w:szCs w:val="24"/>
                <w:shd w:val="clear" w:color="auto" w:fill="FFFFFF"/>
              </w:rPr>
            </w:pPr>
            <w:r>
              <w:rPr>
                <w:rFonts w:cs="___WRD_EMBED_SUB_48" w:hint="eastAsia"/>
                <w:sz w:val="24"/>
                <w:szCs w:val="24"/>
              </w:rPr>
              <w:t>3</w:t>
            </w:r>
            <w:r>
              <w:rPr>
                <w:rFonts w:cs="___WRD_EMBED_SUB_48"/>
                <w:sz w:val="24"/>
                <w:szCs w:val="24"/>
              </w:rPr>
              <w:t xml:space="preserve">. </w:t>
            </w:r>
            <w:r>
              <w:rPr>
                <w:rFonts w:cs="___WRD_EMBED_SUB_48" w:hint="eastAsia"/>
                <w:sz w:val="24"/>
                <w:szCs w:val="24"/>
              </w:rPr>
              <w:t>该技术已建成一套</w:t>
            </w:r>
            <w:r>
              <w:rPr>
                <w:rFonts w:cs="___WRD_EMBED_SUB_48" w:hint="eastAsia"/>
                <w:sz w:val="24"/>
                <w:szCs w:val="24"/>
              </w:rPr>
              <w:t>5</w:t>
            </w:r>
            <w:r>
              <w:rPr>
                <w:rFonts w:cs="___WRD_EMBED_SUB_48" w:hint="eastAsia"/>
                <w:sz w:val="24"/>
                <w:szCs w:val="24"/>
              </w:rPr>
              <w:t>万吨</w:t>
            </w:r>
            <w:r>
              <w:rPr>
                <w:rFonts w:cs="___WRD_EMBED_SUB_48" w:hint="eastAsia"/>
                <w:sz w:val="24"/>
                <w:szCs w:val="24"/>
              </w:rPr>
              <w:t>/</w:t>
            </w:r>
            <w:r>
              <w:rPr>
                <w:rFonts w:cs="___WRD_EMBED_SUB_48" w:hint="eastAsia"/>
                <w:sz w:val="24"/>
                <w:szCs w:val="24"/>
              </w:rPr>
              <w:t>年废润滑油再生装置，</w:t>
            </w:r>
            <w:r>
              <w:rPr>
                <w:rFonts w:cs="方正仿宋_GB2312" w:hint="eastAsia"/>
                <w:sz w:val="24"/>
                <w:szCs w:val="24"/>
              </w:rPr>
              <w:t>一次性投资费用约为</w:t>
            </w:r>
            <w:r>
              <w:rPr>
                <w:rFonts w:cs="方正仿宋_GB2312"/>
                <w:sz w:val="24"/>
                <w:szCs w:val="24"/>
              </w:rPr>
              <w:t>1.3</w:t>
            </w:r>
            <w:r>
              <w:rPr>
                <w:rFonts w:cs="方正仿宋_GB2312" w:hint="eastAsia"/>
                <w:sz w:val="24"/>
                <w:szCs w:val="24"/>
              </w:rPr>
              <w:t>亿元。</w:t>
            </w:r>
            <w:r>
              <w:rPr>
                <w:rFonts w:cs="___WRD_EMBED_SUB_48" w:hint="eastAsia"/>
                <w:sz w:val="24"/>
                <w:szCs w:val="24"/>
              </w:rPr>
              <w:t>再生润滑油基础油品质经检测达到满足《通用润滑油基础油》</w:t>
            </w:r>
            <w:r>
              <w:rPr>
                <w:rFonts w:cs="___WRD_EMBED_SUB_48" w:hint="eastAsia"/>
                <w:sz w:val="24"/>
                <w:szCs w:val="24"/>
              </w:rPr>
              <w:t>(Q/SY 44-2009</w:t>
            </w:r>
            <w:r>
              <w:rPr>
                <w:rFonts w:cs="___WRD_EMBED_SUB_48"/>
                <w:sz w:val="24"/>
                <w:szCs w:val="24"/>
              </w:rPr>
              <w:t>)</w:t>
            </w:r>
            <w:r>
              <w:rPr>
                <w:rFonts w:cs="___WRD_EMBED_SUB_48" w:hint="eastAsia"/>
                <w:sz w:val="24"/>
                <w:szCs w:val="24"/>
              </w:rPr>
              <w:t xml:space="preserve"> </w:t>
            </w:r>
            <w:r>
              <w:rPr>
                <w:rFonts w:cs="___WRD_EMBED_SUB_48" w:hint="eastAsia"/>
                <w:sz w:val="24"/>
                <w:szCs w:val="24"/>
              </w:rPr>
              <w:t>及《再生润滑油基础油》</w:t>
            </w:r>
            <w:r>
              <w:rPr>
                <w:rFonts w:cs="___WRD_EMBED_SUB_48" w:hint="eastAsia"/>
                <w:sz w:val="24"/>
                <w:szCs w:val="24"/>
              </w:rPr>
              <w:t>(T/CRRA0901-2018</w:t>
            </w:r>
            <w:r>
              <w:rPr>
                <w:rFonts w:cs="___WRD_EMBED_SUB_48"/>
                <w:sz w:val="24"/>
                <w:szCs w:val="24"/>
              </w:rPr>
              <w:t>)</w:t>
            </w:r>
            <w:r>
              <w:rPr>
                <w:rFonts w:cs="___WRD_EMBED_SUB_48" w:hint="eastAsia"/>
                <w:sz w:val="24"/>
                <w:szCs w:val="24"/>
              </w:rPr>
              <w:t xml:space="preserve"> </w:t>
            </w:r>
            <w:r>
              <w:rPr>
                <w:rFonts w:cs="___WRD_EMBED_SUB_48" w:hint="eastAsia"/>
                <w:sz w:val="24"/>
                <w:szCs w:val="24"/>
              </w:rPr>
              <w:t>标准。产品已应用于新疆、甘肃、陕西等多地的润滑油制造行业，用户反馈再生润滑油满足使用要求。</w:t>
            </w:r>
          </w:p>
          <w:p w14:paraId="3DFEFF0F" w14:textId="77777777" w:rsidR="00E52F22" w:rsidRPr="006E23AC" w:rsidRDefault="00E52F22" w:rsidP="00A36054">
            <w:pPr>
              <w:adjustRightInd w:val="0"/>
              <w:snapToGrid w:val="0"/>
              <w:spacing w:line="360" w:lineRule="auto"/>
              <w:ind w:firstLineChars="200" w:firstLine="480"/>
              <w:rPr>
                <w:sz w:val="24"/>
                <w:szCs w:val="24"/>
              </w:rPr>
            </w:pPr>
            <w:bookmarkStart w:id="0" w:name="_GoBack"/>
            <w:bookmarkEnd w:id="0"/>
          </w:p>
          <w:p w14:paraId="7A8BA4E8" w14:textId="77777777" w:rsidR="00E52F22" w:rsidRDefault="00E52F22" w:rsidP="00A36054">
            <w:pPr>
              <w:adjustRightInd w:val="0"/>
              <w:snapToGrid w:val="0"/>
              <w:spacing w:line="360" w:lineRule="auto"/>
              <w:ind w:firstLineChars="200" w:firstLine="480"/>
              <w:rPr>
                <w:sz w:val="24"/>
                <w:szCs w:val="24"/>
              </w:rPr>
            </w:pPr>
          </w:p>
          <w:p w14:paraId="5A425CE7" w14:textId="77777777" w:rsidR="00E52F22" w:rsidRDefault="00E52F22" w:rsidP="00A36054">
            <w:pPr>
              <w:adjustRightInd w:val="0"/>
              <w:snapToGrid w:val="0"/>
              <w:spacing w:line="360" w:lineRule="auto"/>
              <w:ind w:firstLineChars="200" w:firstLine="480"/>
              <w:rPr>
                <w:sz w:val="24"/>
                <w:szCs w:val="24"/>
              </w:rPr>
            </w:pPr>
          </w:p>
          <w:p w14:paraId="3EF2F73D" w14:textId="77777777" w:rsidR="00E52F22" w:rsidRDefault="00E52F22" w:rsidP="00A36054">
            <w:pPr>
              <w:adjustRightInd w:val="0"/>
              <w:snapToGrid w:val="0"/>
              <w:spacing w:line="360" w:lineRule="auto"/>
              <w:ind w:firstLineChars="200" w:firstLine="480"/>
              <w:rPr>
                <w:sz w:val="24"/>
                <w:szCs w:val="24"/>
              </w:rPr>
            </w:pPr>
          </w:p>
          <w:p w14:paraId="0A03B987" w14:textId="77777777" w:rsidR="00E52F22" w:rsidRDefault="00E52F22" w:rsidP="00A36054">
            <w:pPr>
              <w:adjustRightInd w:val="0"/>
              <w:snapToGrid w:val="0"/>
              <w:spacing w:line="360" w:lineRule="auto"/>
              <w:rPr>
                <w:sz w:val="24"/>
                <w:szCs w:val="24"/>
              </w:rPr>
            </w:pPr>
          </w:p>
        </w:tc>
      </w:tr>
    </w:tbl>
    <w:p w14:paraId="4F94AD32" w14:textId="77777777" w:rsidR="00E52F22" w:rsidRPr="00E52F22" w:rsidRDefault="00E52F22"/>
    <w:sectPr w:rsidR="00E52F22" w:rsidRPr="00E52F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29510" w14:textId="77777777" w:rsidR="00DE6189" w:rsidRDefault="00DE6189" w:rsidP="00E52F22">
      <w:r>
        <w:separator/>
      </w:r>
    </w:p>
  </w:endnote>
  <w:endnote w:type="continuationSeparator" w:id="0">
    <w:p w14:paraId="6FEECE10" w14:textId="77777777" w:rsidR="00DE6189" w:rsidRDefault="00DE6189" w:rsidP="00E5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___WRD_EMBED_SUB_48">
    <w:altName w:val="宋体"/>
    <w:charset w:val="86"/>
    <w:family w:val="auto"/>
    <w:pitch w:val="default"/>
    <w:sig w:usb0="00000000" w:usb1="00000000" w:usb2="00000012" w:usb3="00000000" w:csb0="00040001" w:csb1="00000000"/>
  </w:font>
  <w:font w:name="方正仿宋_GB2312">
    <w:altName w:val="仿宋"/>
    <w:charset w:val="86"/>
    <w:family w:val="auto"/>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FF57" w14:textId="77777777" w:rsidR="00DE6189" w:rsidRDefault="00DE6189" w:rsidP="00E52F22">
      <w:r>
        <w:separator/>
      </w:r>
    </w:p>
  </w:footnote>
  <w:footnote w:type="continuationSeparator" w:id="0">
    <w:p w14:paraId="6C7C6238" w14:textId="77777777" w:rsidR="00DE6189" w:rsidRDefault="00DE6189" w:rsidP="00E52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4056A"/>
    <w:multiLevelType w:val="hybridMultilevel"/>
    <w:tmpl w:val="CD2A5A18"/>
    <w:lvl w:ilvl="0" w:tplc="C114D868">
      <w:start w:val="1"/>
      <w:numFmt w:val="decimal"/>
      <w:lvlText w:val="%1."/>
      <w:lvlJc w:val="left"/>
      <w:pPr>
        <w:ind w:left="823" w:hanging="360"/>
      </w:pPr>
      <w:rPr>
        <w:rFonts w:cs="宋体" w:hint="default"/>
      </w:rPr>
    </w:lvl>
    <w:lvl w:ilvl="1" w:tplc="04090019" w:tentative="1">
      <w:start w:val="1"/>
      <w:numFmt w:val="lowerLetter"/>
      <w:lvlText w:val="%2)"/>
      <w:lvlJc w:val="left"/>
      <w:pPr>
        <w:ind w:left="1343" w:hanging="440"/>
      </w:pPr>
    </w:lvl>
    <w:lvl w:ilvl="2" w:tplc="0409001B" w:tentative="1">
      <w:start w:val="1"/>
      <w:numFmt w:val="lowerRoman"/>
      <w:lvlText w:val="%3."/>
      <w:lvlJc w:val="right"/>
      <w:pPr>
        <w:ind w:left="1783" w:hanging="440"/>
      </w:pPr>
    </w:lvl>
    <w:lvl w:ilvl="3" w:tplc="0409000F" w:tentative="1">
      <w:start w:val="1"/>
      <w:numFmt w:val="decimal"/>
      <w:lvlText w:val="%4."/>
      <w:lvlJc w:val="left"/>
      <w:pPr>
        <w:ind w:left="2223" w:hanging="440"/>
      </w:pPr>
    </w:lvl>
    <w:lvl w:ilvl="4" w:tplc="04090019" w:tentative="1">
      <w:start w:val="1"/>
      <w:numFmt w:val="lowerLetter"/>
      <w:lvlText w:val="%5)"/>
      <w:lvlJc w:val="left"/>
      <w:pPr>
        <w:ind w:left="2663" w:hanging="440"/>
      </w:pPr>
    </w:lvl>
    <w:lvl w:ilvl="5" w:tplc="0409001B" w:tentative="1">
      <w:start w:val="1"/>
      <w:numFmt w:val="lowerRoman"/>
      <w:lvlText w:val="%6."/>
      <w:lvlJc w:val="right"/>
      <w:pPr>
        <w:ind w:left="3103" w:hanging="440"/>
      </w:pPr>
    </w:lvl>
    <w:lvl w:ilvl="6" w:tplc="0409000F" w:tentative="1">
      <w:start w:val="1"/>
      <w:numFmt w:val="decimal"/>
      <w:lvlText w:val="%7."/>
      <w:lvlJc w:val="left"/>
      <w:pPr>
        <w:ind w:left="3543" w:hanging="440"/>
      </w:pPr>
    </w:lvl>
    <w:lvl w:ilvl="7" w:tplc="04090019" w:tentative="1">
      <w:start w:val="1"/>
      <w:numFmt w:val="lowerLetter"/>
      <w:lvlText w:val="%8)"/>
      <w:lvlJc w:val="left"/>
      <w:pPr>
        <w:ind w:left="3983" w:hanging="440"/>
      </w:pPr>
    </w:lvl>
    <w:lvl w:ilvl="8" w:tplc="0409001B" w:tentative="1">
      <w:start w:val="1"/>
      <w:numFmt w:val="lowerRoman"/>
      <w:lvlText w:val="%9."/>
      <w:lvlJc w:val="right"/>
      <w:pPr>
        <w:ind w:left="4423"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E7"/>
    <w:rsid w:val="000A23E7"/>
    <w:rsid w:val="00115603"/>
    <w:rsid w:val="00203827"/>
    <w:rsid w:val="00207C51"/>
    <w:rsid w:val="0033554C"/>
    <w:rsid w:val="00584F93"/>
    <w:rsid w:val="006E23AC"/>
    <w:rsid w:val="00CA2AE6"/>
    <w:rsid w:val="00DE6189"/>
    <w:rsid w:val="00DF553A"/>
    <w:rsid w:val="00E52F22"/>
    <w:rsid w:val="00E74A72"/>
    <w:rsid w:val="00EB1746"/>
    <w:rsid w:val="00FA2CEC"/>
    <w:rsid w:val="00FE7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C68A3"/>
  <w15:chartTrackingRefBased/>
  <w15:docId w15:val="{C20BC0C0-2E85-40F0-89FE-2A727183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F2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F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52F22"/>
    <w:rPr>
      <w:sz w:val="18"/>
      <w:szCs w:val="18"/>
    </w:rPr>
  </w:style>
  <w:style w:type="paragraph" w:styleId="a5">
    <w:name w:val="footer"/>
    <w:basedOn w:val="a"/>
    <w:link w:val="a6"/>
    <w:uiPriority w:val="99"/>
    <w:unhideWhenUsed/>
    <w:rsid w:val="00E52F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52F22"/>
    <w:rPr>
      <w:sz w:val="18"/>
      <w:szCs w:val="18"/>
    </w:rPr>
  </w:style>
  <w:style w:type="paragraph" w:styleId="a7">
    <w:name w:val="Revision"/>
    <w:hidden/>
    <w:uiPriority w:val="99"/>
    <w:semiHidden/>
    <w:rsid w:val="00FE76A7"/>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dc:creator>
  <cp:keywords/>
  <dc:description/>
  <cp:lastModifiedBy>邸慧萍</cp:lastModifiedBy>
  <cp:revision>5</cp:revision>
  <cp:lastPrinted>2022-08-02T01:59:00Z</cp:lastPrinted>
  <dcterms:created xsi:type="dcterms:W3CDTF">2023-12-18T02:45:00Z</dcterms:created>
  <dcterms:modified xsi:type="dcterms:W3CDTF">2023-12-26T07:22:00Z</dcterms:modified>
</cp:coreProperties>
</file>