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D53B">
      <w:pPr>
        <w:wordWrap/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 w14:paraId="427EF753">
      <w:pPr>
        <w:wordWrap/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47660F6">
      <w:pPr>
        <w:bidi w:val="0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国家重点推广的低碳技术目录（第五批）》</w:t>
      </w:r>
    </w:p>
    <w:p w14:paraId="56182435">
      <w:pPr>
        <w:bidi w:val="0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典型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案例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评审结果</w:t>
      </w:r>
    </w:p>
    <w:p w14:paraId="3EE37EF4">
      <w:pPr>
        <w:bidi w:val="0"/>
        <w:spacing w:line="240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027"/>
        <w:gridCol w:w="2396"/>
      </w:tblGrid>
      <w:tr w14:paraId="5A8A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0184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0" w:type="pct"/>
            <w:vAlign w:val="center"/>
          </w:tcPr>
          <w:p w14:paraId="7784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406" w:type="pct"/>
            <w:vAlign w:val="center"/>
          </w:tcPr>
          <w:p w14:paraId="2C2D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方向</w:t>
            </w:r>
          </w:p>
        </w:tc>
      </w:tr>
      <w:tr w14:paraId="650A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5BBD2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4E96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珠海格力绿控科技有限公司光储空技术应用案例</w:t>
            </w:r>
          </w:p>
        </w:tc>
        <w:tc>
          <w:tcPr>
            <w:tcW w:w="1406" w:type="pct"/>
            <w:vAlign w:val="center"/>
          </w:tcPr>
          <w:p w14:paraId="4962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能源绿色低碳</w:t>
            </w:r>
          </w:p>
          <w:p w14:paraId="3EF6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转型类</w:t>
            </w:r>
          </w:p>
        </w:tc>
      </w:tr>
      <w:tr w14:paraId="34BC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0F79B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197E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北科蕴宏年产 50 万吨低碳胶凝材料示范生产线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应用案例</w:t>
            </w:r>
          </w:p>
        </w:tc>
        <w:tc>
          <w:tcPr>
            <w:tcW w:w="1406" w:type="pct"/>
            <w:vMerge w:val="restart"/>
            <w:vAlign w:val="center"/>
          </w:tcPr>
          <w:p w14:paraId="54A6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重点领域</w:t>
            </w:r>
          </w:p>
          <w:p w14:paraId="1447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降碳类</w:t>
            </w:r>
          </w:p>
        </w:tc>
      </w:tr>
      <w:tr w14:paraId="0087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42849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772D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贵州茅台茅台镇一期 1.15 蒸吨白酒制酒蒸馏工艺节能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技术应用案例</w:t>
            </w:r>
          </w:p>
        </w:tc>
        <w:tc>
          <w:tcPr>
            <w:tcW w:w="1406" w:type="pct"/>
            <w:vMerge w:val="continue"/>
            <w:vAlign w:val="center"/>
          </w:tcPr>
          <w:p w14:paraId="776D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55A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055E8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6B9F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天津大道（K28+000—中央大道）段养护维修工程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应用案例</w:t>
            </w:r>
          </w:p>
        </w:tc>
        <w:tc>
          <w:tcPr>
            <w:tcW w:w="1406" w:type="pct"/>
            <w:vMerge w:val="continue"/>
            <w:vAlign w:val="center"/>
          </w:tcPr>
          <w:p w14:paraId="6917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FB5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3840B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5B69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大连凯旋国际大厦灾后重建光伏建筑一体化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BIPV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应用案例</w:t>
            </w:r>
          </w:p>
        </w:tc>
        <w:tc>
          <w:tcPr>
            <w:tcW w:w="1406" w:type="pct"/>
            <w:vMerge w:val="continue"/>
            <w:vAlign w:val="center"/>
          </w:tcPr>
          <w:p w14:paraId="53E9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283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0AAD7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0BA6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船舶氢燃料动力系统技术研究及应用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案例</w:t>
            </w:r>
          </w:p>
        </w:tc>
        <w:tc>
          <w:tcPr>
            <w:tcW w:w="1406" w:type="pct"/>
            <w:vMerge w:val="continue"/>
            <w:vAlign w:val="center"/>
          </w:tcPr>
          <w:p w14:paraId="4FB8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92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5CDEB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2C74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商用车新型氢-电混合动力系统开发及整车应用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案例</w:t>
            </w:r>
          </w:p>
        </w:tc>
        <w:tc>
          <w:tcPr>
            <w:tcW w:w="1406" w:type="pct"/>
            <w:vMerge w:val="continue"/>
            <w:vAlign w:val="center"/>
          </w:tcPr>
          <w:p w14:paraId="7C7F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5ED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16D87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3133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河北纵横钢铁集团有限公司富氢碳循环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工程总承包（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EPC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应用案例</w:t>
            </w:r>
          </w:p>
        </w:tc>
        <w:tc>
          <w:tcPr>
            <w:tcW w:w="1406" w:type="pct"/>
            <w:vMerge w:val="continue"/>
            <w:vAlign w:val="center"/>
          </w:tcPr>
          <w:p w14:paraId="5B07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CF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2E2F6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3925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中国石化安庆分公司炼油转化工结构调整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应用案例</w:t>
            </w:r>
          </w:p>
        </w:tc>
        <w:tc>
          <w:tcPr>
            <w:tcW w:w="1406" w:type="pct"/>
            <w:vMerge w:val="continue"/>
            <w:vAlign w:val="center"/>
          </w:tcPr>
          <w:p w14:paraId="610E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F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581E2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3E69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珠海市民服务中心零碳项目空气碳捕集和处理设备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集成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系统应用案例</w:t>
            </w:r>
          </w:p>
        </w:tc>
        <w:tc>
          <w:tcPr>
            <w:tcW w:w="1406" w:type="pct"/>
            <w:vAlign w:val="center"/>
          </w:tcPr>
          <w:p w14:paraId="3EB3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储碳固碳类</w:t>
            </w:r>
          </w:p>
        </w:tc>
      </w:tr>
      <w:tr w14:paraId="1DC4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6719F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6E3E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气候协同治理污水处理厂智慧低碳平台关键技术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应用案例</w:t>
            </w:r>
          </w:p>
        </w:tc>
        <w:tc>
          <w:tcPr>
            <w:tcW w:w="1406" w:type="pct"/>
            <w:vAlign w:val="center"/>
          </w:tcPr>
          <w:p w14:paraId="5F9B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数智赋能类</w:t>
            </w:r>
          </w:p>
        </w:tc>
      </w:tr>
      <w:tr w14:paraId="6750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pct"/>
            <w:vAlign w:val="center"/>
          </w:tcPr>
          <w:p w14:paraId="50AAB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50" w:type="pct"/>
            <w:vAlign w:val="top"/>
          </w:tcPr>
          <w:p w14:paraId="548D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己二酸生产过程氧化亚氮低温催化分解消除技术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应用案例</w:t>
            </w:r>
          </w:p>
        </w:tc>
        <w:tc>
          <w:tcPr>
            <w:tcW w:w="1406" w:type="pct"/>
            <w:vAlign w:val="center"/>
          </w:tcPr>
          <w:p w14:paraId="2F11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非二氧化碳</w:t>
            </w:r>
          </w:p>
          <w:p w14:paraId="122C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减排类</w:t>
            </w:r>
          </w:p>
        </w:tc>
      </w:tr>
    </w:tbl>
    <w:p w14:paraId="5FEA512E"/>
    <w:p w14:paraId="61BD4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3B206"/>
    <w:multiLevelType w:val="multilevel"/>
    <w:tmpl w:val="9023B20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  <w:color w:val="auto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6522DE30"/>
    <w:multiLevelType w:val="singleLevel"/>
    <w:tmpl w:val="6522DE30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05621"/>
    <w:rsid w:val="023161E1"/>
    <w:rsid w:val="02F15A6F"/>
    <w:rsid w:val="065F46B8"/>
    <w:rsid w:val="072B7F42"/>
    <w:rsid w:val="08D050A0"/>
    <w:rsid w:val="0BE31A2E"/>
    <w:rsid w:val="14934457"/>
    <w:rsid w:val="1B966080"/>
    <w:rsid w:val="1FF05621"/>
    <w:rsid w:val="260B7419"/>
    <w:rsid w:val="2B183A88"/>
    <w:rsid w:val="340A6AEF"/>
    <w:rsid w:val="467C41C5"/>
    <w:rsid w:val="4E5F129B"/>
    <w:rsid w:val="551E2424"/>
    <w:rsid w:val="594B6149"/>
    <w:rsid w:val="5BB35150"/>
    <w:rsid w:val="6E7C0DD2"/>
    <w:rsid w:val="72C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120" w:after="120" w:line="579" w:lineRule="auto"/>
      <w:outlineLvl w:val="0"/>
    </w:pPr>
    <w:rPr>
      <w:rFonts w:ascii="Times New Roman" w:hAnsi="Times New Roman" w:eastAsia="黑体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67" w:hanging="567" w:firstLineChars="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numPr>
        <w:ilvl w:val="0"/>
        <w:numId w:val="1"/>
      </w:numPr>
      <w:ind w:left="136" w:firstLine="0"/>
      <w:outlineLvl w:val="2"/>
    </w:pPr>
    <w:rPr>
      <w:rFonts w:ascii="仿宋" w:hAnsi="仿宋" w:eastAsia="仿宋" w:cstheme="minorBidi"/>
      <w:b/>
      <w:sz w:val="24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黑体" w:cstheme="minorBidi"/>
      <w:bCs/>
      <w:kern w:val="44"/>
      <w:sz w:val="32"/>
      <w:szCs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楷体_GB2312"/>
      <w:b/>
      <w:sz w:val="30"/>
    </w:rPr>
  </w:style>
  <w:style w:type="character" w:customStyle="1" w:styleId="11">
    <w:name w:val="标题 3 字符"/>
    <w:basedOn w:val="8"/>
    <w:link w:val="4"/>
    <w:autoRedefine/>
    <w:qFormat/>
    <w:uiPriority w:val="9"/>
    <w:rPr>
      <w:rFonts w:ascii="仿宋" w:hAnsi="仿宋" w:eastAsia="仿宋" w:cstheme="minorBidi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2025-10-28T03:23:00Z</dcterms:created>
  <dc:creator>Lihuiiiii</dc:creator>
  <cp:lastModifiedBy>Lihuiiiii</cp:lastModifiedBy>
  <dcterms:modified xsi:type="dcterms:W3CDTF">2025-10-28T03:24:33Z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3669A90A38B64567B253C255BEE2BDD9_11</vt:lpwstr>
  </property>
  <property fmtid="{D5CDD505-2E9C-101B-9397-08002B2CF9AE}" pid="4" name="KSOTemplateDocerSaveRecord">
    <vt:lpwstr>eyJoZGlkIjoiNzE0MmIxNGM4ZGExNDIxODg0MDEzOTNiMGMzNTY0NjgiLCJ1c2VySWQiOiIxMTMyNDcwMDAxIn0=</vt:lpwstr>
  </property>
</Properties>
</file>