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0204E">
      <w:pPr>
        <w:adjustRightInd w:val="0"/>
        <w:rPr>
          <w:rFonts w:hint="eastAsia"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附件3</w:t>
      </w:r>
    </w:p>
    <w:p w14:paraId="10240F8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评分办法</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954"/>
        <w:gridCol w:w="6163"/>
        <w:gridCol w:w="718"/>
      </w:tblGrid>
      <w:tr w14:paraId="4731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03" w:type="pct"/>
            <w:vAlign w:val="center"/>
          </w:tcPr>
          <w:p w14:paraId="5273800F">
            <w:pPr>
              <w:spacing w:before="60" w:after="60"/>
              <w:jc w:val="center"/>
              <w:rPr>
                <w:rFonts w:hint="eastAsia"/>
                <w:b/>
              </w:rPr>
            </w:pPr>
            <w:r>
              <w:rPr>
                <w:b/>
              </w:rPr>
              <w:t>序号</w:t>
            </w:r>
          </w:p>
        </w:tc>
        <w:tc>
          <w:tcPr>
            <w:tcW w:w="560" w:type="pct"/>
            <w:vAlign w:val="center"/>
          </w:tcPr>
          <w:p w14:paraId="3404A221">
            <w:pPr>
              <w:spacing w:before="60" w:after="60"/>
              <w:jc w:val="center"/>
              <w:rPr>
                <w:rFonts w:hint="eastAsia"/>
                <w:b/>
              </w:rPr>
            </w:pPr>
            <w:r>
              <w:rPr>
                <w:b/>
              </w:rPr>
              <w:t>项目</w:t>
            </w:r>
          </w:p>
        </w:tc>
        <w:tc>
          <w:tcPr>
            <w:tcW w:w="3616" w:type="pct"/>
            <w:vAlign w:val="center"/>
          </w:tcPr>
          <w:p w14:paraId="30CCAE4C">
            <w:pPr>
              <w:spacing w:before="60" w:after="60"/>
              <w:jc w:val="center"/>
              <w:rPr>
                <w:rFonts w:hint="eastAsia"/>
                <w:b/>
              </w:rPr>
            </w:pPr>
            <w:r>
              <w:rPr>
                <w:b/>
              </w:rPr>
              <w:t>评审标准</w:t>
            </w:r>
          </w:p>
        </w:tc>
        <w:tc>
          <w:tcPr>
            <w:tcW w:w="421" w:type="pct"/>
            <w:vAlign w:val="center"/>
          </w:tcPr>
          <w:p w14:paraId="37475913">
            <w:pPr>
              <w:spacing w:before="60" w:after="60"/>
              <w:jc w:val="center"/>
              <w:rPr>
                <w:rFonts w:hint="eastAsia"/>
                <w:b/>
              </w:rPr>
            </w:pPr>
            <w:r>
              <w:rPr>
                <w:b/>
              </w:rPr>
              <w:t>满分</w:t>
            </w:r>
          </w:p>
        </w:tc>
      </w:tr>
      <w:tr w14:paraId="3F9F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000" w:type="pct"/>
            <w:gridSpan w:val="4"/>
            <w:vAlign w:val="center"/>
          </w:tcPr>
          <w:p w14:paraId="3E257FA7">
            <w:pPr>
              <w:spacing w:before="60" w:after="60"/>
              <w:rPr>
                <w:rFonts w:hint="eastAsia"/>
              </w:rPr>
            </w:pPr>
            <w:r>
              <w:rPr>
                <w:rFonts w:hint="eastAsia"/>
                <w:b/>
              </w:rPr>
              <w:t>一、报价部分（16分）</w:t>
            </w:r>
          </w:p>
        </w:tc>
      </w:tr>
      <w:tr w14:paraId="7185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403" w:type="pct"/>
            <w:vAlign w:val="center"/>
          </w:tcPr>
          <w:p w14:paraId="53D4B2B2">
            <w:pPr>
              <w:spacing w:before="60" w:after="60"/>
              <w:jc w:val="center"/>
              <w:rPr>
                <w:rFonts w:hint="eastAsia"/>
              </w:rPr>
            </w:pPr>
            <w:r>
              <w:rPr>
                <w:rFonts w:hint="eastAsia"/>
              </w:rPr>
              <w:t>1</w:t>
            </w:r>
          </w:p>
        </w:tc>
        <w:tc>
          <w:tcPr>
            <w:tcW w:w="560" w:type="pct"/>
            <w:vAlign w:val="center"/>
          </w:tcPr>
          <w:p w14:paraId="21D84B68">
            <w:pPr>
              <w:spacing w:before="60" w:after="60"/>
              <w:jc w:val="center"/>
              <w:rPr>
                <w:rFonts w:hint="eastAsia"/>
              </w:rPr>
            </w:pPr>
            <w:r>
              <w:rPr>
                <w:rFonts w:hint="eastAsia"/>
              </w:rPr>
              <w:t>报价</w:t>
            </w:r>
          </w:p>
        </w:tc>
        <w:tc>
          <w:tcPr>
            <w:tcW w:w="3616" w:type="pct"/>
            <w:vAlign w:val="center"/>
          </w:tcPr>
          <w:p w14:paraId="01D1881C">
            <w:pPr>
              <w:rPr>
                <w:rFonts w:hint="eastAsia"/>
                <w:color w:val="0D0D0D"/>
              </w:rPr>
            </w:pPr>
            <w:r>
              <w:rPr>
                <w:color w:val="0D0D0D"/>
              </w:rPr>
              <w:t>计算方法=（评标基准价/</w:t>
            </w:r>
            <w:r>
              <w:rPr>
                <w:rFonts w:hint="eastAsia"/>
                <w:color w:val="0D0D0D"/>
              </w:rPr>
              <w:t>申报单位</w:t>
            </w:r>
            <w:r>
              <w:rPr>
                <w:color w:val="0D0D0D"/>
              </w:rPr>
              <w:t>的投标</w:t>
            </w:r>
            <w:r>
              <w:rPr>
                <w:rFonts w:hint="eastAsia"/>
                <w:color w:val="0D0D0D"/>
              </w:rPr>
              <w:t>报</w:t>
            </w:r>
            <w:r>
              <w:rPr>
                <w:color w:val="0D0D0D"/>
              </w:rPr>
              <w:t>价）×</w:t>
            </w:r>
            <w:r>
              <w:rPr>
                <w:rFonts w:hint="eastAsia"/>
                <w:color w:val="0D0D0D"/>
              </w:rPr>
              <w:t>16</w:t>
            </w:r>
          </w:p>
          <w:p w14:paraId="5E5F5DE8">
            <w:pPr>
              <w:rPr>
                <w:rFonts w:hint="eastAsia"/>
                <w:color w:val="0D0D0D"/>
              </w:rPr>
            </w:pPr>
            <w:r>
              <w:rPr>
                <w:color w:val="0D0D0D"/>
              </w:rPr>
              <w:t>评标基准价：</w:t>
            </w:r>
            <w:r>
              <w:rPr>
                <w:rFonts w:hint="eastAsia"/>
                <w:color w:val="0D0D0D"/>
              </w:rPr>
              <w:t>以满足招标文件要求且投标价格最低的投标报价为评标基准价</w:t>
            </w:r>
          </w:p>
        </w:tc>
        <w:tc>
          <w:tcPr>
            <w:tcW w:w="421" w:type="pct"/>
            <w:vAlign w:val="center"/>
          </w:tcPr>
          <w:p w14:paraId="0BA26EEB">
            <w:pPr>
              <w:spacing w:before="60" w:after="60"/>
              <w:jc w:val="center"/>
              <w:rPr>
                <w:rFonts w:hint="eastAsia"/>
              </w:rPr>
            </w:pPr>
            <w:r>
              <w:rPr>
                <w:rFonts w:hint="eastAsia"/>
              </w:rPr>
              <w:t>16分</w:t>
            </w:r>
          </w:p>
        </w:tc>
      </w:tr>
      <w:tr w14:paraId="78E8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000" w:type="pct"/>
            <w:gridSpan w:val="4"/>
            <w:vAlign w:val="center"/>
          </w:tcPr>
          <w:p w14:paraId="39A7E424">
            <w:pPr>
              <w:spacing w:before="60" w:after="60"/>
              <w:rPr>
                <w:rFonts w:hint="eastAsia"/>
              </w:rPr>
            </w:pPr>
            <w:r>
              <w:rPr>
                <w:rFonts w:hint="eastAsia"/>
                <w:b/>
              </w:rPr>
              <w:t>二</w:t>
            </w:r>
            <w:r>
              <w:rPr>
                <w:b/>
              </w:rPr>
              <w:t>、技术部分（</w:t>
            </w:r>
            <w:r>
              <w:rPr>
                <w:rFonts w:hint="eastAsia"/>
                <w:b/>
              </w:rPr>
              <w:t>64</w:t>
            </w:r>
            <w:r>
              <w:rPr>
                <w:b/>
              </w:rPr>
              <w:t>分）</w:t>
            </w:r>
          </w:p>
        </w:tc>
      </w:tr>
      <w:tr w14:paraId="5A73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8" w:hRule="atLeast"/>
          <w:jc w:val="center"/>
        </w:trPr>
        <w:tc>
          <w:tcPr>
            <w:tcW w:w="403" w:type="pct"/>
            <w:tcMar>
              <w:top w:w="15" w:type="dxa"/>
              <w:left w:w="15" w:type="dxa"/>
              <w:bottom w:w="0" w:type="dxa"/>
              <w:right w:w="15" w:type="dxa"/>
            </w:tcMar>
            <w:vAlign w:val="center"/>
          </w:tcPr>
          <w:p w14:paraId="78A3A4A1">
            <w:pPr>
              <w:spacing w:before="60" w:after="60"/>
              <w:jc w:val="center"/>
              <w:rPr>
                <w:rFonts w:hint="eastAsia"/>
              </w:rPr>
            </w:pPr>
            <w:r>
              <w:rPr>
                <w:rFonts w:hint="eastAsia"/>
              </w:rPr>
              <w:t>1</w:t>
            </w:r>
          </w:p>
        </w:tc>
        <w:tc>
          <w:tcPr>
            <w:tcW w:w="560" w:type="pct"/>
            <w:tcMar>
              <w:top w:w="15" w:type="dxa"/>
              <w:left w:w="15" w:type="dxa"/>
              <w:bottom w:w="0" w:type="dxa"/>
              <w:right w:w="15" w:type="dxa"/>
            </w:tcMar>
            <w:vAlign w:val="center"/>
          </w:tcPr>
          <w:p w14:paraId="38EFA568">
            <w:pPr>
              <w:spacing w:before="60" w:after="60"/>
              <w:jc w:val="center"/>
              <w:rPr>
                <w:rFonts w:hint="eastAsia"/>
              </w:rPr>
            </w:pPr>
            <w:r>
              <w:rPr>
                <w:rFonts w:hint="eastAsia"/>
              </w:rPr>
              <w:t>现状情况分析</w:t>
            </w:r>
          </w:p>
        </w:tc>
        <w:tc>
          <w:tcPr>
            <w:tcW w:w="3616" w:type="pct"/>
            <w:tcMar>
              <w:top w:w="15" w:type="dxa"/>
              <w:left w:w="15" w:type="dxa"/>
              <w:bottom w:w="0" w:type="dxa"/>
              <w:right w:w="15" w:type="dxa"/>
            </w:tcMar>
            <w:vAlign w:val="center"/>
          </w:tcPr>
          <w:p w14:paraId="5CA9566E">
            <w:pPr>
              <w:pStyle w:val="18"/>
              <w:numPr>
                <w:ilvl w:val="0"/>
                <w:numId w:val="1"/>
              </w:numPr>
              <w:ind w:firstLineChars="0"/>
              <w:jc w:val="both"/>
              <w:rPr>
                <w:rFonts w:hint="eastAsia"/>
                <w:color w:val="0D0D0D"/>
              </w:rPr>
            </w:pPr>
            <w:r>
              <w:rPr>
                <w:rFonts w:hint="eastAsia"/>
                <w:color w:val="0D0D0D"/>
              </w:rPr>
              <w:t>对本项目所在区域状况了解充分、水文地质现状掌握全面，完全符合项目实际情况，得6.1-8分。</w:t>
            </w:r>
          </w:p>
          <w:p w14:paraId="67659705">
            <w:pPr>
              <w:pStyle w:val="18"/>
              <w:numPr>
                <w:ilvl w:val="0"/>
                <w:numId w:val="1"/>
              </w:numPr>
              <w:ind w:firstLineChars="0"/>
              <w:jc w:val="both"/>
              <w:rPr>
                <w:rFonts w:hint="eastAsia"/>
                <w:color w:val="0D0D0D"/>
              </w:rPr>
            </w:pPr>
            <w:r>
              <w:rPr>
                <w:rFonts w:hint="eastAsia"/>
                <w:color w:val="0D0D0D"/>
              </w:rPr>
              <w:t>对本项目所在区域状况了解较充分、水文地质现状掌握较完整，符合项目实际情况，得4.1-6分。</w:t>
            </w:r>
          </w:p>
          <w:p w14:paraId="3F5F8B95">
            <w:pPr>
              <w:pStyle w:val="18"/>
              <w:numPr>
                <w:ilvl w:val="0"/>
                <w:numId w:val="1"/>
              </w:numPr>
              <w:ind w:firstLineChars="0"/>
              <w:jc w:val="both"/>
              <w:rPr>
                <w:rFonts w:hint="eastAsia"/>
                <w:color w:val="0D0D0D"/>
              </w:rPr>
            </w:pPr>
            <w:r>
              <w:rPr>
                <w:color w:val="0D0D0D"/>
              </w:rPr>
              <w:t>对本项目所在区域状况</w:t>
            </w:r>
            <w:r>
              <w:rPr>
                <w:rFonts w:hint="eastAsia"/>
                <w:color w:val="0D0D0D"/>
              </w:rPr>
              <w:t>简单了解</w:t>
            </w:r>
            <w:r>
              <w:rPr>
                <w:color w:val="0D0D0D"/>
              </w:rPr>
              <w:t>、水文地质现状掌握简单，得</w:t>
            </w:r>
            <w:r>
              <w:rPr>
                <w:rFonts w:hint="eastAsia"/>
                <w:color w:val="0D0D0D"/>
              </w:rPr>
              <w:t>2.1-4</w:t>
            </w:r>
            <w:r>
              <w:rPr>
                <w:color w:val="0D0D0D"/>
              </w:rPr>
              <w:t>分。</w:t>
            </w:r>
          </w:p>
          <w:p w14:paraId="4F7ABB21">
            <w:pPr>
              <w:pStyle w:val="18"/>
              <w:numPr>
                <w:ilvl w:val="0"/>
                <w:numId w:val="1"/>
              </w:numPr>
              <w:ind w:firstLineChars="0"/>
              <w:jc w:val="both"/>
              <w:rPr>
                <w:rFonts w:hint="eastAsia"/>
                <w:color w:val="0D0D0D"/>
              </w:rPr>
            </w:pPr>
            <w:r>
              <w:rPr>
                <w:color w:val="0D0D0D"/>
              </w:rPr>
              <w:t>对本项目所在区域状况</w:t>
            </w:r>
            <w:r>
              <w:rPr>
                <w:rFonts w:hint="eastAsia"/>
                <w:color w:val="0D0D0D"/>
              </w:rPr>
              <w:t>不</w:t>
            </w:r>
            <w:r>
              <w:rPr>
                <w:color w:val="0D0D0D"/>
              </w:rPr>
              <w:t>了解、水文地质现状掌握</w:t>
            </w:r>
            <w:r>
              <w:rPr>
                <w:rFonts w:hint="eastAsia"/>
                <w:color w:val="0D0D0D"/>
              </w:rPr>
              <w:t>不掌握</w:t>
            </w:r>
            <w:r>
              <w:rPr>
                <w:color w:val="0D0D0D"/>
              </w:rPr>
              <w:t>，得</w:t>
            </w:r>
            <w:r>
              <w:rPr>
                <w:rFonts w:hint="eastAsia"/>
                <w:color w:val="0D0D0D"/>
              </w:rPr>
              <w:t>1-2</w:t>
            </w:r>
            <w:r>
              <w:rPr>
                <w:color w:val="0D0D0D"/>
              </w:rPr>
              <w:t>分。</w:t>
            </w:r>
          </w:p>
          <w:p w14:paraId="3269BF53">
            <w:pPr>
              <w:pStyle w:val="18"/>
              <w:numPr>
                <w:ilvl w:val="0"/>
                <w:numId w:val="1"/>
              </w:numPr>
              <w:ind w:firstLineChars="0"/>
              <w:jc w:val="both"/>
              <w:rPr>
                <w:rFonts w:hint="eastAsia"/>
              </w:rPr>
            </w:pPr>
            <w:r>
              <w:rPr>
                <w:rFonts w:hint="eastAsia"/>
                <w:color w:val="0D0D0D"/>
              </w:rPr>
              <w:t>未提供不得分。</w:t>
            </w:r>
          </w:p>
        </w:tc>
        <w:tc>
          <w:tcPr>
            <w:tcW w:w="421" w:type="pct"/>
            <w:tcMar>
              <w:top w:w="15" w:type="dxa"/>
              <w:left w:w="15" w:type="dxa"/>
              <w:bottom w:w="0" w:type="dxa"/>
              <w:right w:w="15" w:type="dxa"/>
            </w:tcMar>
            <w:vAlign w:val="center"/>
          </w:tcPr>
          <w:p w14:paraId="1DDDA0EE">
            <w:pPr>
              <w:spacing w:before="60" w:after="60"/>
              <w:jc w:val="center"/>
              <w:rPr>
                <w:rFonts w:hint="eastAsia"/>
              </w:rPr>
            </w:pPr>
            <w:r>
              <w:rPr>
                <w:rFonts w:hint="eastAsia"/>
                <w:color w:val="000000"/>
              </w:rPr>
              <w:t>8分</w:t>
            </w:r>
          </w:p>
        </w:tc>
      </w:tr>
      <w:tr w14:paraId="2FEA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8" w:hRule="atLeast"/>
          <w:jc w:val="center"/>
        </w:trPr>
        <w:tc>
          <w:tcPr>
            <w:tcW w:w="403" w:type="pct"/>
            <w:tcMar>
              <w:top w:w="15" w:type="dxa"/>
              <w:left w:w="15" w:type="dxa"/>
              <w:bottom w:w="0" w:type="dxa"/>
              <w:right w:w="15" w:type="dxa"/>
            </w:tcMar>
            <w:vAlign w:val="center"/>
          </w:tcPr>
          <w:p w14:paraId="1ED24DE9">
            <w:pPr>
              <w:spacing w:before="60" w:after="60"/>
              <w:jc w:val="center"/>
              <w:rPr>
                <w:rFonts w:hint="eastAsia"/>
              </w:rPr>
            </w:pPr>
            <w:r>
              <w:rPr>
                <w:rFonts w:hint="eastAsia"/>
              </w:rPr>
              <w:t>2</w:t>
            </w:r>
          </w:p>
        </w:tc>
        <w:tc>
          <w:tcPr>
            <w:tcW w:w="560" w:type="pct"/>
            <w:tcMar>
              <w:top w:w="15" w:type="dxa"/>
              <w:left w:w="15" w:type="dxa"/>
              <w:bottom w:w="0" w:type="dxa"/>
              <w:right w:w="15" w:type="dxa"/>
            </w:tcMar>
            <w:vAlign w:val="center"/>
          </w:tcPr>
          <w:p w14:paraId="05039BEB">
            <w:pPr>
              <w:spacing w:before="60" w:after="60"/>
              <w:jc w:val="center"/>
              <w:rPr>
                <w:rFonts w:hint="eastAsia"/>
              </w:rPr>
            </w:pPr>
            <w:r>
              <w:rPr>
                <w:rFonts w:hint="eastAsia"/>
              </w:rPr>
              <w:t>需求</w:t>
            </w:r>
          </w:p>
          <w:p w14:paraId="768149A7">
            <w:pPr>
              <w:spacing w:before="60" w:after="60"/>
              <w:jc w:val="center"/>
              <w:rPr>
                <w:rFonts w:hint="eastAsia"/>
              </w:rPr>
            </w:pPr>
            <w:r>
              <w:rPr>
                <w:rFonts w:hint="eastAsia"/>
              </w:rPr>
              <w:t>分析</w:t>
            </w:r>
          </w:p>
        </w:tc>
        <w:tc>
          <w:tcPr>
            <w:tcW w:w="3616" w:type="pct"/>
            <w:tcMar>
              <w:top w:w="15" w:type="dxa"/>
              <w:left w:w="15" w:type="dxa"/>
              <w:bottom w:w="0" w:type="dxa"/>
              <w:right w:w="15" w:type="dxa"/>
            </w:tcMar>
            <w:vAlign w:val="center"/>
          </w:tcPr>
          <w:p w14:paraId="58F39037">
            <w:pPr>
              <w:pStyle w:val="18"/>
              <w:numPr>
                <w:ilvl w:val="0"/>
                <w:numId w:val="2"/>
              </w:numPr>
              <w:ind w:firstLineChars="0"/>
              <w:jc w:val="both"/>
              <w:rPr>
                <w:rFonts w:hint="eastAsia"/>
              </w:rPr>
            </w:pPr>
            <w:r>
              <w:rPr>
                <w:rFonts w:hint="eastAsia"/>
              </w:rPr>
              <w:t>对项目的相关政策、背景、目标、任务、业务与技术需求及整体设计要求的理解分析准确深入，得3.1-4分。</w:t>
            </w:r>
          </w:p>
          <w:p w14:paraId="12F07443">
            <w:pPr>
              <w:pStyle w:val="18"/>
              <w:numPr>
                <w:ilvl w:val="0"/>
                <w:numId w:val="2"/>
              </w:numPr>
              <w:ind w:firstLineChars="0"/>
              <w:jc w:val="both"/>
              <w:rPr>
                <w:rFonts w:hint="eastAsia"/>
              </w:rPr>
            </w:pPr>
            <w:r>
              <w:rPr>
                <w:rFonts w:hint="eastAsia"/>
              </w:rPr>
              <w:t>对项目的相关政策、背景、目标、任务、业务与技术需求及整体设计要求的理解分析较准确深入，得2.1-3分。</w:t>
            </w:r>
          </w:p>
          <w:p w14:paraId="2DA8DF7F">
            <w:pPr>
              <w:pStyle w:val="18"/>
              <w:numPr>
                <w:ilvl w:val="0"/>
                <w:numId w:val="2"/>
              </w:numPr>
              <w:ind w:firstLineChars="0"/>
              <w:jc w:val="both"/>
              <w:rPr>
                <w:rFonts w:hint="eastAsia"/>
              </w:rPr>
            </w:pPr>
            <w:r>
              <w:rPr>
                <w:rFonts w:hint="eastAsia"/>
              </w:rPr>
              <w:t>对项目的相关政策、背景、目标、任务、业务与技术需求及整体设计要求的理解分析简单，得1.1-2分。</w:t>
            </w:r>
          </w:p>
          <w:p w14:paraId="4292C49B">
            <w:pPr>
              <w:pStyle w:val="18"/>
              <w:numPr>
                <w:ilvl w:val="0"/>
                <w:numId w:val="2"/>
              </w:numPr>
              <w:ind w:firstLineChars="0"/>
              <w:jc w:val="both"/>
              <w:rPr>
                <w:rFonts w:hint="eastAsia"/>
              </w:rPr>
            </w:pPr>
            <w:r>
              <w:rPr>
                <w:rFonts w:hint="eastAsia"/>
              </w:rPr>
              <w:t>未提供或对项目的相关政策、背景、目标、任务、业务与技术需求及整体设计要求的不理解，得0-1分。</w:t>
            </w:r>
          </w:p>
        </w:tc>
        <w:tc>
          <w:tcPr>
            <w:tcW w:w="421" w:type="pct"/>
            <w:tcMar>
              <w:top w:w="15" w:type="dxa"/>
              <w:left w:w="15" w:type="dxa"/>
              <w:bottom w:w="0" w:type="dxa"/>
              <w:right w:w="15" w:type="dxa"/>
            </w:tcMar>
            <w:vAlign w:val="center"/>
          </w:tcPr>
          <w:p w14:paraId="138D545D">
            <w:pPr>
              <w:spacing w:before="60" w:after="60"/>
              <w:jc w:val="center"/>
              <w:rPr>
                <w:rFonts w:hint="eastAsia"/>
              </w:rPr>
            </w:pPr>
            <w:r>
              <w:rPr>
                <w:rFonts w:hint="eastAsia"/>
                <w:color w:val="000000"/>
              </w:rPr>
              <w:t>4分</w:t>
            </w:r>
          </w:p>
        </w:tc>
      </w:tr>
      <w:tr w14:paraId="135C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403" w:type="pct"/>
            <w:tcMar>
              <w:top w:w="15" w:type="dxa"/>
              <w:left w:w="15" w:type="dxa"/>
              <w:bottom w:w="0" w:type="dxa"/>
              <w:right w:w="15" w:type="dxa"/>
            </w:tcMar>
            <w:vAlign w:val="center"/>
          </w:tcPr>
          <w:p w14:paraId="4735ACE3">
            <w:pPr>
              <w:spacing w:before="60" w:after="60"/>
              <w:jc w:val="center"/>
              <w:rPr>
                <w:rFonts w:hint="eastAsia"/>
              </w:rPr>
            </w:pPr>
            <w:r>
              <w:rPr>
                <w:rFonts w:hint="eastAsia"/>
              </w:rPr>
              <w:t>3</w:t>
            </w:r>
          </w:p>
        </w:tc>
        <w:tc>
          <w:tcPr>
            <w:tcW w:w="560" w:type="pct"/>
            <w:tcMar>
              <w:top w:w="15" w:type="dxa"/>
              <w:left w:w="15" w:type="dxa"/>
              <w:bottom w:w="0" w:type="dxa"/>
              <w:right w:w="15" w:type="dxa"/>
            </w:tcMar>
            <w:vAlign w:val="center"/>
          </w:tcPr>
          <w:p w14:paraId="71366564">
            <w:pPr>
              <w:spacing w:before="60" w:after="60"/>
              <w:jc w:val="center"/>
              <w:rPr>
                <w:rFonts w:hint="eastAsia"/>
              </w:rPr>
            </w:pPr>
            <w:r>
              <w:rPr>
                <w:rFonts w:hint="eastAsia"/>
                <w:color w:val="000000"/>
              </w:rPr>
              <w:t>项目实施方案</w:t>
            </w:r>
          </w:p>
        </w:tc>
        <w:tc>
          <w:tcPr>
            <w:tcW w:w="3616" w:type="pct"/>
            <w:tcMar>
              <w:top w:w="15" w:type="dxa"/>
              <w:left w:w="15" w:type="dxa"/>
              <w:bottom w:w="0" w:type="dxa"/>
              <w:right w:w="15" w:type="dxa"/>
            </w:tcMar>
            <w:vAlign w:val="center"/>
          </w:tcPr>
          <w:p w14:paraId="4EDCA0DE">
            <w:pPr>
              <w:pStyle w:val="18"/>
              <w:numPr>
                <w:ilvl w:val="0"/>
                <w:numId w:val="3"/>
              </w:numPr>
              <w:spacing w:before="60" w:after="60"/>
              <w:ind w:firstLineChars="0"/>
              <w:rPr>
                <w:rFonts w:hint="eastAsia"/>
              </w:rPr>
            </w:pPr>
            <w:r>
              <w:rPr>
                <w:rFonts w:hint="eastAsia"/>
              </w:rPr>
              <w:t>对本项目需求理解深入透彻且完整,工作内容技术路线充分且完整；项目实施方案工作研究思路与方法详细全面，有详细的工作部署，方案总体详实、全面，对项目情况了解清晰。得19.1-24分。</w:t>
            </w:r>
          </w:p>
          <w:p w14:paraId="01144217">
            <w:pPr>
              <w:pStyle w:val="18"/>
              <w:numPr>
                <w:ilvl w:val="0"/>
                <w:numId w:val="3"/>
              </w:numPr>
              <w:spacing w:before="60" w:after="60"/>
              <w:ind w:firstLineChars="0"/>
              <w:rPr>
                <w:rFonts w:hint="eastAsia"/>
              </w:rPr>
            </w:pPr>
            <w:r>
              <w:rPr>
                <w:rFonts w:hint="eastAsia"/>
              </w:rPr>
              <w:t>对本项目需求理解准确，工作内容技术路线完整；项目实施方案工作研究思路与方法较全面，有较完整的工作部署，方案总体较详实、全面，对项目情况了解较清晰。得14.1-19分。</w:t>
            </w:r>
          </w:p>
          <w:p w14:paraId="01380CE1">
            <w:pPr>
              <w:pStyle w:val="18"/>
              <w:numPr>
                <w:ilvl w:val="0"/>
                <w:numId w:val="3"/>
              </w:numPr>
              <w:spacing w:before="60" w:after="60"/>
              <w:ind w:firstLineChars="0"/>
              <w:rPr>
                <w:rFonts w:hint="eastAsia"/>
              </w:rPr>
            </w:pPr>
            <w:r>
              <w:t>对本项目需求理解准确，工作内容技术路线简单</w:t>
            </w:r>
            <w:r>
              <w:rPr>
                <w:rFonts w:hint="eastAsia"/>
              </w:rPr>
              <w:t>；项目实施方案工作研究思路与方法简单，工作部署方案简单，方案总体完整。得9.1-14分。</w:t>
            </w:r>
          </w:p>
          <w:p w14:paraId="5E52C0C5">
            <w:pPr>
              <w:pStyle w:val="18"/>
              <w:numPr>
                <w:ilvl w:val="0"/>
                <w:numId w:val="3"/>
              </w:numPr>
              <w:spacing w:before="60" w:after="60"/>
              <w:ind w:firstLineChars="0"/>
              <w:rPr>
                <w:rFonts w:hint="eastAsia"/>
              </w:rPr>
            </w:pPr>
            <w:r>
              <w:rPr>
                <w:rFonts w:hint="eastAsia"/>
              </w:rPr>
              <w:t>对本项目需求理解不全面，工作内容技术路线混乱；项目实施方案工作研究思路与方法简单，工作部署方案简单，方案总体简单，对项目了解情况简单。得4.1-9分。</w:t>
            </w:r>
          </w:p>
          <w:p w14:paraId="27BA3146">
            <w:pPr>
              <w:pStyle w:val="18"/>
              <w:numPr>
                <w:ilvl w:val="0"/>
                <w:numId w:val="3"/>
              </w:numPr>
              <w:spacing w:before="60" w:after="60"/>
              <w:ind w:firstLineChars="0"/>
              <w:rPr>
                <w:rFonts w:hint="eastAsia"/>
              </w:rPr>
            </w:pPr>
            <w:r>
              <w:rPr>
                <w:rFonts w:hint="eastAsia"/>
              </w:rPr>
              <w:t>对本项目需求理解不全面，工作内容技术路线混乱，研究思路与方法存在平偏差，不了解项目情况，不符合项目实际需求。得1-4分。</w:t>
            </w:r>
          </w:p>
          <w:p w14:paraId="2D0124A5">
            <w:pPr>
              <w:pStyle w:val="18"/>
              <w:numPr>
                <w:ilvl w:val="0"/>
                <w:numId w:val="3"/>
              </w:numPr>
              <w:spacing w:before="60" w:after="60"/>
              <w:ind w:firstLineChars="0"/>
              <w:rPr>
                <w:rFonts w:hint="eastAsia"/>
              </w:rPr>
            </w:pPr>
            <w:r>
              <w:rPr>
                <w:rFonts w:hint="eastAsia"/>
              </w:rPr>
              <w:t>未提供不得分。</w:t>
            </w:r>
          </w:p>
        </w:tc>
        <w:tc>
          <w:tcPr>
            <w:tcW w:w="421" w:type="pct"/>
            <w:tcMar>
              <w:top w:w="15" w:type="dxa"/>
              <w:left w:w="15" w:type="dxa"/>
              <w:bottom w:w="0" w:type="dxa"/>
              <w:right w:w="15" w:type="dxa"/>
            </w:tcMar>
            <w:vAlign w:val="center"/>
          </w:tcPr>
          <w:p w14:paraId="1FE79C18">
            <w:pPr>
              <w:spacing w:before="60" w:after="60"/>
              <w:jc w:val="center"/>
              <w:rPr>
                <w:rFonts w:hint="eastAsia"/>
              </w:rPr>
            </w:pPr>
            <w:r>
              <w:rPr>
                <w:color w:val="000000"/>
              </w:rPr>
              <w:t>2</w:t>
            </w:r>
            <w:r>
              <w:rPr>
                <w:rFonts w:hint="eastAsia"/>
                <w:color w:val="000000"/>
              </w:rPr>
              <w:t>4分</w:t>
            </w:r>
          </w:p>
        </w:tc>
      </w:tr>
      <w:tr w14:paraId="0E1A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4" w:hRule="atLeast"/>
          <w:jc w:val="center"/>
        </w:trPr>
        <w:tc>
          <w:tcPr>
            <w:tcW w:w="403" w:type="pct"/>
            <w:tcMar>
              <w:top w:w="15" w:type="dxa"/>
              <w:left w:w="15" w:type="dxa"/>
              <w:bottom w:w="0" w:type="dxa"/>
              <w:right w:w="15" w:type="dxa"/>
            </w:tcMar>
            <w:vAlign w:val="center"/>
          </w:tcPr>
          <w:p w14:paraId="4CE569F6">
            <w:pPr>
              <w:spacing w:before="60" w:after="60"/>
              <w:jc w:val="center"/>
              <w:rPr>
                <w:rFonts w:hint="eastAsia"/>
              </w:rPr>
            </w:pPr>
            <w:r>
              <w:rPr>
                <w:rFonts w:hint="eastAsia"/>
              </w:rPr>
              <w:t>4</w:t>
            </w:r>
          </w:p>
        </w:tc>
        <w:tc>
          <w:tcPr>
            <w:tcW w:w="560" w:type="pct"/>
            <w:tcMar>
              <w:top w:w="15" w:type="dxa"/>
              <w:left w:w="15" w:type="dxa"/>
              <w:bottom w:w="0" w:type="dxa"/>
              <w:right w:w="15" w:type="dxa"/>
            </w:tcMar>
            <w:vAlign w:val="center"/>
          </w:tcPr>
          <w:p w14:paraId="181EE2E1">
            <w:pPr>
              <w:spacing w:before="60" w:after="60"/>
              <w:jc w:val="center"/>
              <w:rPr>
                <w:rFonts w:hint="eastAsia"/>
                <w:color w:val="000000"/>
              </w:rPr>
            </w:pPr>
            <w:r>
              <w:rPr>
                <w:rFonts w:hint="eastAsia"/>
                <w:color w:val="000000"/>
              </w:rPr>
              <w:t>项目进度</w:t>
            </w:r>
          </w:p>
        </w:tc>
        <w:tc>
          <w:tcPr>
            <w:tcW w:w="3616" w:type="pct"/>
            <w:tcMar>
              <w:top w:w="15" w:type="dxa"/>
              <w:left w:w="15" w:type="dxa"/>
              <w:bottom w:w="0" w:type="dxa"/>
              <w:right w:w="15" w:type="dxa"/>
            </w:tcMar>
            <w:vAlign w:val="center"/>
          </w:tcPr>
          <w:p w14:paraId="73F2836A">
            <w:pPr>
              <w:pStyle w:val="18"/>
              <w:widowControl/>
              <w:numPr>
                <w:ilvl w:val="0"/>
                <w:numId w:val="4"/>
              </w:numPr>
              <w:ind w:firstLineChars="0"/>
              <w:jc w:val="both"/>
              <w:rPr>
                <w:rFonts w:hint="eastAsia"/>
                <w:color w:val="0D0D0D"/>
              </w:rPr>
            </w:pPr>
            <w:r>
              <w:rPr>
                <w:rFonts w:hint="eastAsia"/>
                <w:color w:val="0D0D0D"/>
              </w:rPr>
              <w:t>工作人员配备、分工合理，实施计划和进度安排合理，工期进度计划详实，进度保障措施完善，得4.1-6分。</w:t>
            </w:r>
          </w:p>
          <w:p w14:paraId="39A863C2">
            <w:pPr>
              <w:pStyle w:val="18"/>
              <w:widowControl/>
              <w:numPr>
                <w:ilvl w:val="0"/>
                <w:numId w:val="4"/>
              </w:numPr>
              <w:ind w:firstLineChars="0"/>
              <w:jc w:val="both"/>
              <w:rPr>
                <w:rFonts w:hint="eastAsia"/>
                <w:color w:val="0D0D0D"/>
              </w:rPr>
            </w:pPr>
            <w:r>
              <w:rPr>
                <w:rFonts w:hint="eastAsia"/>
                <w:color w:val="0D0D0D"/>
              </w:rPr>
              <w:t>工作人员配备、分工较合理，实施计划和进度安排较合理，工期进度计划较详实，进度保障措施较完善，得2.1-4分。</w:t>
            </w:r>
          </w:p>
          <w:p w14:paraId="0C07D2D6">
            <w:pPr>
              <w:pStyle w:val="18"/>
              <w:numPr>
                <w:ilvl w:val="0"/>
                <w:numId w:val="4"/>
              </w:numPr>
              <w:spacing w:before="60" w:after="60"/>
              <w:ind w:firstLineChars="0"/>
              <w:jc w:val="both"/>
              <w:rPr>
                <w:rFonts w:hint="eastAsia"/>
                <w:color w:val="0D0D0D"/>
              </w:rPr>
            </w:pPr>
            <w:r>
              <w:rPr>
                <w:rFonts w:hint="eastAsia"/>
                <w:color w:val="0D0D0D"/>
              </w:rPr>
              <w:t>工作人员配备、分工简单，实施计划和进度安排简单，工期进度计划简单，进度保障措施简单，得1.1-2分。</w:t>
            </w:r>
          </w:p>
          <w:p w14:paraId="2330088D">
            <w:pPr>
              <w:pStyle w:val="18"/>
              <w:numPr>
                <w:ilvl w:val="0"/>
                <w:numId w:val="4"/>
              </w:numPr>
              <w:spacing w:before="60" w:after="60"/>
              <w:ind w:firstLineChars="0"/>
              <w:jc w:val="both"/>
              <w:rPr>
                <w:rFonts w:hint="eastAsia"/>
              </w:rPr>
            </w:pPr>
            <w:r>
              <w:rPr>
                <w:rFonts w:hint="eastAsia"/>
                <w:color w:val="0D0D0D"/>
              </w:rPr>
              <w:t>未提供或工作人员配备、分工安排不合理，实施计划和进度安排不合理，工期进度计划、进度保障措施不详实，</w:t>
            </w:r>
            <w:r>
              <w:rPr>
                <w:rFonts w:hint="eastAsia" w:cs="Arial"/>
                <w:color w:val="0D0D0D"/>
              </w:rPr>
              <w:t>得0-1分</w:t>
            </w:r>
            <w:r>
              <w:rPr>
                <w:rFonts w:hint="eastAsia"/>
                <w:color w:val="0D0D0D"/>
              </w:rPr>
              <w:t>。</w:t>
            </w:r>
          </w:p>
        </w:tc>
        <w:tc>
          <w:tcPr>
            <w:tcW w:w="421" w:type="pct"/>
            <w:tcMar>
              <w:top w:w="15" w:type="dxa"/>
              <w:left w:w="15" w:type="dxa"/>
              <w:bottom w:w="0" w:type="dxa"/>
              <w:right w:w="15" w:type="dxa"/>
            </w:tcMar>
            <w:vAlign w:val="center"/>
          </w:tcPr>
          <w:p w14:paraId="04C4D488">
            <w:pPr>
              <w:spacing w:before="60" w:after="60"/>
              <w:jc w:val="center"/>
              <w:rPr>
                <w:rFonts w:hint="eastAsia"/>
                <w:color w:val="000000"/>
              </w:rPr>
            </w:pPr>
            <w:r>
              <w:rPr>
                <w:rFonts w:hint="eastAsia"/>
              </w:rPr>
              <w:t>6分</w:t>
            </w:r>
          </w:p>
        </w:tc>
      </w:tr>
      <w:tr w14:paraId="5A31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403" w:type="pct"/>
            <w:tcMar>
              <w:top w:w="15" w:type="dxa"/>
              <w:left w:w="15" w:type="dxa"/>
              <w:bottom w:w="0" w:type="dxa"/>
              <w:right w:w="15" w:type="dxa"/>
            </w:tcMar>
            <w:vAlign w:val="center"/>
          </w:tcPr>
          <w:p w14:paraId="17A165A7">
            <w:pPr>
              <w:spacing w:before="60" w:after="60"/>
              <w:jc w:val="center"/>
              <w:rPr>
                <w:rFonts w:hint="eastAsia"/>
              </w:rPr>
            </w:pPr>
            <w:r>
              <w:rPr>
                <w:rFonts w:hint="eastAsia"/>
              </w:rPr>
              <w:t>5</w:t>
            </w:r>
          </w:p>
        </w:tc>
        <w:tc>
          <w:tcPr>
            <w:tcW w:w="560" w:type="pct"/>
            <w:tcMar>
              <w:top w:w="15" w:type="dxa"/>
              <w:left w:w="15" w:type="dxa"/>
              <w:bottom w:w="0" w:type="dxa"/>
              <w:right w:w="15" w:type="dxa"/>
            </w:tcMar>
            <w:vAlign w:val="center"/>
          </w:tcPr>
          <w:p w14:paraId="25C56394">
            <w:pPr>
              <w:spacing w:before="60" w:after="60"/>
              <w:jc w:val="center"/>
              <w:rPr>
                <w:rFonts w:hint="eastAsia"/>
                <w:color w:val="000000"/>
              </w:rPr>
            </w:pPr>
            <w:r>
              <w:rPr>
                <w:rFonts w:hint="eastAsia"/>
                <w:color w:val="000000"/>
              </w:rPr>
              <w:t>质量保障措施</w:t>
            </w:r>
          </w:p>
        </w:tc>
        <w:tc>
          <w:tcPr>
            <w:tcW w:w="3616" w:type="pct"/>
            <w:tcMar>
              <w:top w:w="15" w:type="dxa"/>
              <w:left w:w="15" w:type="dxa"/>
              <w:bottom w:w="0" w:type="dxa"/>
              <w:right w:w="15" w:type="dxa"/>
            </w:tcMar>
            <w:vAlign w:val="center"/>
          </w:tcPr>
          <w:p w14:paraId="2089E92D">
            <w:pPr>
              <w:pStyle w:val="18"/>
              <w:numPr>
                <w:ilvl w:val="0"/>
                <w:numId w:val="5"/>
              </w:numPr>
              <w:spacing w:before="60" w:after="60"/>
              <w:ind w:firstLineChars="0"/>
              <w:jc w:val="both"/>
              <w:rPr>
                <w:rFonts w:hint="eastAsia"/>
                <w:color w:val="0D0D0D"/>
              </w:rPr>
            </w:pPr>
            <w:r>
              <w:rPr>
                <w:rFonts w:hint="eastAsia"/>
                <w:color w:val="0D0D0D"/>
              </w:rPr>
              <w:t>项目质量保证与质量控制措施内容详细、完整，措施可行，得4.1-6分。</w:t>
            </w:r>
          </w:p>
          <w:p w14:paraId="65C336F7">
            <w:pPr>
              <w:pStyle w:val="18"/>
              <w:numPr>
                <w:ilvl w:val="0"/>
                <w:numId w:val="5"/>
              </w:numPr>
              <w:spacing w:before="60" w:after="60"/>
              <w:ind w:firstLineChars="0"/>
              <w:jc w:val="both"/>
              <w:rPr>
                <w:rFonts w:hint="eastAsia"/>
                <w:color w:val="0D0D0D"/>
              </w:rPr>
            </w:pPr>
            <w:r>
              <w:rPr>
                <w:rFonts w:hint="eastAsia"/>
                <w:color w:val="0D0D0D"/>
              </w:rPr>
              <w:t>项目质量保证与质量控制措施内容较完整、措施较可行，得2.1-4分。</w:t>
            </w:r>
          </w:p>
          <w:p w14:paraId="0D2096D9">
            <w:pPr>
              <w:pStyle w:val="18"/>
              <w:numPr>
                <w:ilvl w:val="0"/>
                <w:numId w:val="5"/>
              </w:numPr>
              <w:spacing w:before="60" w:after="60"/>
              <w:ind w:firstLineChars="0"/>
              <w:jc w:val="both"/>
              <w:rPr>
                <w:rFonts w:hint="eastAsia"/>
              </w:rPr>
            </w:pPr>
            <w:r>
              <w:t>项目质量保证与质量控制措施内容</w:t>
            </w:r>
            <w:r>
              <w:rPr>
                <w:rFonts w:hint="eastAsia"/>
              </w:rPr>
              <w:t>简单</w:t>
            </w:r>
            <w:r>
              <w:t>，得</w:t>
            </w:r>
            <w:r>
              <w:rPr>
                <w:rFonts w:hint="eastAsia"/>
              </w:rPr>
              <w:t>1.1-2</w:t>
            </w:r>
            <w:r>
              <w:t>分</w:t>
            </w:r>
            <w:r>
              <w:rPr>
                <w:rFonts w:hint="eastAsia"/>
              </w:rPr>
              <w:t>。</w:t>
            </w:r>
          </w:p>
          <w:p w14:paraId="3647B2A3">
            <w:pPr>
              <w:pStyle w:val="18"/>
              <w:numPr>
                <w:ilvl w:val="0"/>
                <w:numId w:val="5"/>
              </w:numPr>
              <w:spacing w:before="60" w:after="60"/>
              <w:ind w:firstLineChars="0"/>
              <w:jc w:val="both"/>
              <w:rPr>
                <w:rFonts w:hint="eastAsia"/>
              </w:rPr>
            </w:pPr>
            <w:r>
              <w:rPr>
                <w:rFonts w:hint="eastAsia"/>
              </w:rPr>
              <w:t>未提供或</w:t>
            </w:r>
            <w:r>
              <w:t>质量保证与质量控制措施与项目不符，得</w:t>
            </w:r>
            <w:r>
              <w:rPr>
                <w:rFonts w:hint="eastAsia"/>
              </w:rPr>
              <w:t>0-1</w:t>
            </w:r>
            <w:r>
              <w:t>分。</w:t>
            </w:r>
          </w:p>
        </w:tc>
        <w:tc>
          <w:tcPr>
            <w:tcW w:w="421" w:type="pct"/>
            <w:tcMar>
              <w:top w:w="15" w:type="dxa"/>
              <w:left w:w="15" w:type="dxa"/>
              <w:bottom w:w="0" w:type="dxa"/>
              <w:right w:w="15" w:type="dxa"/>
            </w:tcMar>
            <w:vAlign w:val="center"/>
          </w:tcPr>
          <w:p w14:paraId="779CECB4">
            <w:pPr>
              <w:spacing w:before="60" w:after="60"/>
              <w:jc w:val="center"/>
              <w:rPr>
                <w:rFonts w:hint="eastAsia"/>
                <w:color w:val="000000"/>
              </w:rPr>
            </w:pPr>
            <w:r>
              <w:rPr>
                <w:rFonts w:hint="eastAsia"/>
                <w:color w:val="000000"/>
              </w:rPr>
              <w:t>6分</w:t>
            </w:r>
          </w:p>
        </w:tc>
      </w:tr>
      <w:tr w14:paraId="0DF4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2" w:hRule="atLeast"/>
          <w:jc w:val="center"/>
        </w:trPr>
        <w:tc>
          <w:tcPr>
            <w:tcW w:w="403" w:type="pct"/>
            <w:tcMar>
              <w:top w:w="15" w:type="dxa"/>
              <w:left w:w="15" w:type="dxa"/>
              <w:bottom w:w="0" w:type="dxa"/>
              <w:right w:w="15" w:type="dxa"/>
            </w:tcMar>
            <w:vAlign w:val="center"/>
          </w:tcPr>
          <w:p w14:paraId="41832935">
            <w:pPr>
              <w:spacing w:before="60" w:after="60"/>
              <w:jc w:val="center"/>
              <w:rPr>
                <w:rFonts w:hint="eastAsia"/>
              </w:rPr>
            </w:pPr>
            <w:r>
              <w:rPr>
                <w:rFonts w:hint="eastAsia"/>
              </w:rPr>
              <w:t>6</w:t>
            </w:r>
          </w:p>
        </w:tc>
        <w:tc>
          <w:tcPr>
            <w:tcW w:w="560" w:type="pct"/>
            <w:tcMar>
              <w:top w:w="15" w:type="dxa"/>
              <w:left w:w="15" w:type="dxa"/>
              <w:bottom w:w="0" w:type="dxa"/>
              <w:right w:w="15" w:type="dxa"/>
            </w:tcMar>
            <w:vAlign w:val="center"/>
          </w:tcPr>
          <w:p w14:paraId="5FD0B51D">
            <w:pPr>
              <w:spacing w:before="60" w:after="60"/>
              <w:jc w:val="center"/>
              <w:rPr>
                <w:rFonts w:hint="eastAsia"/>
                <w:color w:val="000000"/>
              </w:rPr>
            </w:pPr>
            <w:r>
              <w:rPr>
                <w:rFonts w:hint="eastAsia"/>
                <w:color w:val="000000"/>
              </w:rPr>
              <w:t>项目团队要求</w:t>
            </w:r>
          </w:p>
        </w:tc>
        <w:tc>
          <w:tcPr>
            <w:tcW w:w="3616" w:type="pct"/>
            <w:tcMar>
              <w:top w:w="15" w:type="dxa"/>
              <w:left w:w="15" w:type="dxa"/>
              <w:bottom w:w="0" w:type="dxa"/>
              <w:right w:w="15" w:type="dxa"/>
            </w:tcMar>
            <w:vAlign w:val="center"/>
          </w:tcPr>
          <w:p w14:paraId="64C0F1B9">
            <w:pPr>
              <w:pStyle w:val="18"/>
              <w:widowControl/>
              <w:numPr>
                <w:ilvl w:val="0"/>
                <w:numId w:val="6"/>
              </w:numPr>
              <w:ind w:firstLineChars="0"/>
              <w:jc w:val="both"/>
              <w:rPr>
                <w:rFonts w:hint="eastAsia"/>
                <w:color w:val="0D0D0D"/>
              </w:rPr>
            </w:pPr>
            <w:r>
              <w:rPr>
                <w:rFonts w:hint="eastAsia"/>
                <w:color w:val="0D0D0D"/>
              </w:rPr>
              <w:t>项目负责人具有勘察或勘测或环境保护等相关专业领域正高级职称得4分，具有勘察或勘测或环境保护等相关专业领域副高级职称得2分，具有勘察或勘测或环境保护等相关专业领域中级职称得1分。</w:t>
            </w:r>
          </w:p>
          <w:p w14:paraId="59063E64">
            <w:pPr>
              <w:pStyle w:val="18"/>
              <w:widowControl/>
              <w:numPr>
                <w:ilvl w:val="0"/>
                <w:numId w:val="6"/>
              </w:numPr>
              <w:ind w:firstLineChars="0"/>
              <w:jc w:val="both"/>
              <w:rPr>
                <w:rFonts w:hint="eastAsia"/>
                <w:color w:val="0D0D0D"/>
              </w:rPr>
            </w:pPr>
            <w:r>
              <w:rPr>
                <w:rFonts w:hint="eastAsia"/>
                <w:color w:val="0D0D0D"/>
              </w:rPr>
              <w:t>项目组成员（除项目负责人外）其中团队人员中具有勘察或勘测或环境保护等相关专业领域等相关专业的副高级及以上职称证的技术人员，每提供1名得2分，具有勘察或勘测或环境保护等相关专业领域中级职称证的技术人员，每提供一个的0.5分，得满12分止。</w:t>
            </w:r>
          </w:p>
          <w:p w14:paraId="5F9469A7">
            <w:pPr>
              <w:spacing w:before="60" w:after="60"/>
              <w:rPr>
                <w:rFonts w:hint="eastAsia"/>
                <w:color w:val="0D0D0D"/>
              </w:rPr>
            </w:pPr>
            <w:r>
              <w:rPr>
                <w:rFonts w:hint="eastAsia"/>
                <w:color w:val="0D0D0D"/>
              </w:rPr>
              <w:t>注：以上人员需提供项目人员职称证书、资格证书及近三个月社保证明，并加盖投标人公章，未提供不得分。</w:t>
            </w:r>
          </w:p>
        </w:tc>
        <w:tc>
          <w:tcPr>
            <w:tcW w:w="421" w:type="pct"/>
            <w:tcMar>
              <w:top w:w="15" w:type="dxa"/>
              <w:left w:w="15" w:type="dxa"/>
              <w:bottom w:w="0" w:type="dxa"/>
              <w:right w:w="15" w:type="dxa"/>
            </w:tcMar>
            <w:vAlign w:val="center"/>
          </w:tcPr>
          <w:p w14:paraId="5BA61803">
            <w:pPr>
              <w:spacing w:before="60" w:after="60"/>
              <w:jc w:val="center"/>
              <w:rPr>
                <w:rFonts w:hint="eastAsia"/>
                <w:color w:val="000000"/>
              </w:rPr>
            </w:pPr>
            <w:r>
              <w:rPr>
                <w:rFonts w:hint="eastAsia"/>
              </w:rPr>
              <w:t>16分</w:t>
            </w:r>
          </w:p>
        </w:tc>
      </w:tr>
      <w:tr w14:paraId="2580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000" w:type="pct"/>
            <w:gridSpan w:val="4"/>
            <w:tcMar>
              <w:top w:w="15" w:type="dxa"/>
              <w:left w:w="15" w:type="dxa"/>
              <w:bottom w:w="0" w:type="dxa"/>
              <w:right w:w="15" w:type="dxa"/>
            </w:tcMar>
            <w:vAlign w:val="center"/>
          </w:tcPr>
          <w:p w14:paraId="692E04F0">
            <w:pPr>
              <w:spacing w:before="60" w:after="60"/>
              <w:rPr>
                <w:rFonts w:hint="eastAsia"/>
                <w:b/>
              </w:rPr>
            </w:pPr>
            <w:r>
              <w:rPr>
                <w:rFonts w:hint="eastAsia"/>
                <w:b/>
              </w:rPr>
              <w:t>三、商务部分（20分）</w:t>
            </w:r>
          </w:p>
        </w:tc>
      </w:tr>
      <w:tr w14:paraId="4FED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403" w:type="pct"/>
            <w:vAlign w:val="center"/>
          </w:tcPr>
          <w:p w14:paraId="4585E7F9">
            <w:pPr>
              <w:spacing w:before="60" w:after="60"/>
              <w:jc w:val="center"/>
              <w:rPr>
                <w:rFonts w:hint="eastAsia"/>
              </w:rPr>
            </w:pPr>
            <w:r>
              <w:rPr>
                <w:rFonts w:hint="eastAsia"/>
              </w:rPr>
              <w:t>1</w:t>
            </w:r>
          </w:p>
        </w:tc>
        <w:tc>
          <w:tcPr>
            <w:tcW w:w="560" w:type="pct"/>
            <w:vAlign w:val="center"/>
          </w:tcPr>
          <w:p w14:paraId="3D21143F">
            <w:pPr>
              <w:spacing w:before="60" w:after="60"/>
              <w:jc w:val="center"/>
              <w:rPr>
                <w:rFonts w:hint="eastAsia"/>
              </w:rPr>
            </w:pPr>
            <w:r>
              <w:rPr>
                <w:rFonts w:hint="eastAsia"/>
              </w:rPr>
              <w:t>项目</w:t>
            </w:r>
            <w:r>
              <w:t>业绩</w:t>
            </w:r>
          </w:p>
        </w:tc>
        <w:tc>
          <w:tcPr>
            <w:tcW w:w="3616" w:type="pct"/>
            <w:vAlign w:val="center"/>
          </w:tcPr>
          <w:p w14:paraId="39129818">
            <w:pPr>
              <w:rPr>
                <w:rFonts w:hint="eastAsia"/>
                <w:color w:val="0D0D0D"/>
              </w:rPr>
            </w:pPr>
            <w:r>
              <w:rPr>
                <w:rFonts w:hint="eastAsia"/>
                <w:color w:val="0D0D0D"/>
              </w:rPr>
              <w:t>申报单位2022年以来具有相关项目业绩，每提供1个得5分，最多得15分（需提供加盖公章的合同扫描件）。</w:t>
            </w:r>
          </w:p>
        </w:tc>
        <w:tc>
          <w:tcPr>
            <w:tcW w:w="421" w:type="pct"/>
            <w:vAlign w:val="center"/>
          </w:tcPr>
          <w:p w14:paraId="19619714">
            <w:pPr>
              <w:spacing w:before="60" w:after="60"/>
              <w:jc w:val="center"/>
              <w:rPr>
                <w:rFonts w:hint="eastAsia"/>
              </w:rPr>
            </w:pPr>
            <w:r>
              <w:rPr>
                <w:rFonts w:hint="eastAsia"/>
              </w:rPr>
              <w:t>15分</w:t>
            </w:r>
          </w:p>
        </w:tc>
      </w:tr>
      <w:tr w14:paraId="2ABD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 w:hRule="atLeast"/>
          <w:jc w:val="center"/>
        </w:trPr>
        <w:tc>
          <w:tcPr>
            <w:tcW w:w="403" w:type="pct"/>
            <w:tcMar>
              <w:top w:w="15" w:type="dxa"/>
              <w:left w:w="15" w:type="dxa"/>
              <w:bottom w:w="0" w:type="dxa"/>
              <w:right w:w="15" w:type="dxa"/>
            </w:tcMar>
            <w:vAlign w:val="center"/>
          </w:tcPr>
          <w:p w14:paraId="6A9C7E94">
            <w:pPr>
              <w:spacing w:before="60" w:after="60"/>
              <w:jc w:val="center"/>
              <w:rPr>
                <w:rFonts w:hint="eastAsia"/>
              </w:rPr>
            </w:pPr>
            <w:r>
              <w:rPr>
                <w:rFonts w:hint="eastAsia"/>
              </w:rPr>
              <w:t>2</w:t>
            </w:r>
          </w:p>
        </w:tc>
        <w:tc>
          <w:tcPr>
            <w:tcW w:w="560" w:type="pct"/>
            <w:tcMar>
              <w:top w:w="15" w:type="dxa"/>
              <w:left w:w="15" w:type="dxa"/>
              <w:bottom w:w="0" w:type="dxa"/>
              <w:right w:w="15" w:type="dxa"/>
            </w:tcMar>
            <w:vAlign w:val="center"/>
          </w:tcPr>
          <w:p w14:paraId="10B0D3AD">
            <w:pPr>
              <w:spacing w:before="60" w:after="60"/>
              <w:jc w:val="center"/>
              <w:rPr>
                <w:rFonts w:hint="eastAsia"/>
              </w:rPr>
            </w:pPr>
            <w:r>
              <w:rPr>
                <w:rFonts w:hint="eastAsia"/>
              </w:rPr>
              <w:t>售后服务方案</w:t>
            </w:r>
          </w:p>
        </w:tc>
        <w:tc>
          <w:tcPr>
            <w:tcW w:w="3616" w:type="pct"/>
            <w:tcMar>
              <w:top w:w="15" w:type="dxa"/>
              <w:left w:w="15" w:type="dxa"/>
              <w:bottom w:w="0" w:type="dxa"/>
              <w:right w:w="15" w:type="dxa"/>
            </w:tcMar>
            <w:vAlign w:val="center"/>
          </w:tcPr>
          <w:p w14:paraId="6AB55A81">
            <w:pPr>
              <w:rPr>
                <w:rFonts w:hint="eastAsia"/>
                <w:color w:val="0D0D0D"/>
              </w:rPr>
            </w:pPr>
            <w:r>
              <w:rPr>
                <w:rFonts w:hint="eastAsia"/>
                <w:color w:val="0D0D0D"/>
              </w:rPr>
              <w:t>售后服务体系完整、切实可行，出现故障后响应时间短，处理流程具体合理、及时有效，得3.1-5分；</w:t>
            </w:r>
          </w:p>
          <w:p w14:paraId="4A5DEBB7">
            <w:pPr>
              <w:rPr>
                <w:rFonts w:hint="eastAsia"/>
                <w:color w:val="0D0D0D"/>
              </w:rPr>
            </w:pPr>
            <w:r>
              <w:rPr>
                <w:rFonts w:hint="eastAsia"/>
                <w:color w:val="0D0D0D"/>
              </w:rPr>
              <w:t>售后服务体系较完整、较为切实可行，出现故障后响应时间较短，处理流程比较合理、有效，得1.1-3分；</w:t>
            </w:r>
          </w:p>
          <w:p w14:paraId="1028B80E">
            <w:pPr>
              <w:rPr>
                <w:rFonts w:hint="eastAsia"/>
              </w:rPr>
            </w:pPr>
            <w:r>
              <w:rPr>
                <w:rFonts w:hint="eastAsia"/>
                <w:color w:val="0D0D0D"/>
              </w:rPr>
              <w:t>售后服务体系一般，出现故障后响应时间长，处理流程慢，得0-1分。</w:t>
            </w:r>
          </w:p>
        </w:tc>
        <w:tc>
          <w:tcPr>
            <w:tcW w:w="421" w:type="pct"/>
            <w:tcMar>
              <w:top w:w="15" w:type="dxa"/>
              <w:left w:w="15" w:type="dxa"/>
              <w:bottom w:w="0" w:type="dxa"/>
              <w:right w:w="15" w:type="dxa"/>
            </w:tcMar>
            <w:vAlign w:val="center"/>
          </w:tcPr>
          <w:p w14:paraId="0529AC22">
            <w:pPr>
              <w:spacing w:before="60" w:after="60"/>
              <w:jc w:val="center"/>
              <w:rPr>
                <w:rFonts w:hint="eastAsia"/>
              </w:rPr>
            </w:pPr>
            <w:r>
              <w:rPr>
                <w:rFonts w:hint="eastAsia"/>
              </w:rPr>
              <w:t>5分</w:t>
            </w:r>
          </w:p>
        </w:tc>
      </w:tr>
    </w:tbl>
    <w:p w14:paraId="21FCEA3C">
      <w:pPr>
        <w:autoSpaceDE w:val="0"/>
        <w:autoSpaceDN w:val="0"/>
        <w:snapToGrid w:val="0"/>
        <w:spacing w:line="360" w:lineRule="auto"/>
        <w:ind w:firstLine="560" w:firstLineChars="200"/>
        <w:rPr>
          <w:rFonts w:hint="eastAsia" w:ascii="仿宋" w:hAnsi="仿宋" w:eastAsia="仿宋" w:cs="仿宋"/>
          <w:bCs/>
          <w:kern w:val="0"/>
          <w:sz w:val="28"/>
          <w:szCs w:val="2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4488115"/>
      <w:docPartObj>
        <w:docPartGallery w:val="autotext"/>
      </w:docPartObj>
    </w:sdtPr>
    <w:sdtContent>
      <w:p w14:paraId="3A4C9F3E">
        <w:pPr>
          <w:pStyle w:val="5"/>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4AD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0000002"/>
    <w:multiLevelType w:val="multilevel"/>
    <w:tmpl w:val="00000002"/>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0000004"/>
    <w:multiLevelType w:val="multilevel"/>
    <w:tmpl w:val="00000004"/>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0000005"/>
    <w:multiLevelType w:val="multilevel"/>
    <w:tmpl w:val="00000005"/>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0000007"/>
    <w:multiLevelType w:val="multilevel"/>
    <w:tmpl w:val="00000007"/>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CFD4390"/>
    <w:multiLevelType w:val="multilevel"/>
    <w:tmpl w:val="4CFD4390"/>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Y2NjMTA2OGY2YzgxNDNlNTNhZjEzMjRhOTZiNTEifQ=="/>
  </w:docVars>
  <w:rsids>
    <w:rsidRoot w:val="00711016"/>
    <w:rsid w:val="0002576A"/>
    <w:rsid w:val="001E24EC"/>
    <w:rsid w:val="00295FFC"/>
    <w:rsid w:val="004F14D1"/>
    <w:rsid w:val="006E5847"/>
    <w:rsid w:val="00711016"/>
    <w:rsid w:val="007A5B44"/>
    <w:rsid w:val="008167D8"/>
    <w:rsid w:val="008245F9"/>
    <w:rsid w:val="00827F8A"/>
    <w:rsid w:val="009C304F"/>
    <w:rsid w:val="009D4711"/>
    <w:rsid w:val="009F64C1"/>
    <w:rsid w:val="00A864CB"/>
    <w:rsid w:val="00AA5788"/>
    <w:rsid w:val="00AD75D3"/>
    <w:rsid w:val="00B805B5"/>
    <w:rsid w:val="00BC2ABD"/>
    <w:rsid w:val="00BE0433"/>
    <w:rsid w:val="00C06575"/>
    <w:rsid w:val="00CD0D45"/>
    <w:rsid w:val="00CD5E15"/>
    <w:rsid w:val="00CE740D"/>
    <w:rsid w:val="00FC6B2B"/>
    <w:rsid w:val="11302AA6"/>
    <w:rsid w:val="12E34E3B"/>
    <w:rsid w:val="21C67E02"/>
    <w:rsid w:val="31305298"/>
    <w:rsid w:val="3FB865A8"/>
    <w:rsid w:val="4A6551BE"/>
    <w:rsid w:val="61CE5C90"/>
    <w:rsid w:val="7601232C"/>
    <w:rsid w:val="781E2D5A"/>
    <w:rsid w:val="7E774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420" w:firstLineChars="200"/>
    </w:pPr>
    <w:rPr>
      <w:rFonts w:eastAsia="楷体" w:cs="Times New Roman"/>
    </w:rPr>
  </w:style>
  <w:style w:type="paragraph" w:styleId="3">
    <w:name w:val="Plain Text"/>
    <w:basedOn w:val="1"/>
    <w:link w:val="15"/>
    <w:qFormat/>
    <w:uiPriority w:val="0"/>
    <w:pPr>
      <w:autoSpaceDE w:val="0"/>
      <w:autoSpaceDN w:val="0"/>
      <w:jc w:val="left"/>
    </w:pPr>
    <w:rPr>
      <w:rFonts w:ascii="宋体" w:hAnsi="Courier New"/>
      <w:kern w:val="0"/>
      <w:sz w:val="22"/>
      <w:szCs w:val="22"/>
    </w:r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6"/>
    <w:qFormat/>
    <w:uiPriority w:val="0"/>
    <w:pPr>
      <w:autoSpaceDE w:val="0"/>
      <w:autoSpaceDN w:val="0"/>
      <w:snapToGrid w:val="0"/>
      <w:jc w:val="left"/>
    </w:pPr>
    <w:rPr>
      <w:rFonts w:ascii="宋体" w:hAnsi="宋体"/>
      <w:kern w:val="0"/>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3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6"/>
    <w:qFormat/>
    <w:uiPriority w:val="0"/>
    <w:rPr>
      <w:rFonts w:ascii="Calibri" w:hAnsi="Calibri" w:eastAsia="宋体" w:cs="宋体"/>
      <w:kern w:val="2"/>
      <w:sz w:val="18"/>
      <w:szCs w:val="18"/>
    </w:rPr>
  </w:style>
  <w:style w:type="character" w:customStyle="1" w:styleId="13">
    <w:name w:val="页脚 字符"/>
    <w:basedOn w:val="11"/>
    <w:link w:val="5"/>
    <w:qFormat/>
    <w:uiPriority w:val="99"/>
    <w:rPr>
      <w:rFonts w:ascii="Calibri" w:hAnsi="Calibri" w:eastAsia="宋体" w:cs="宋体"/>
      <w:kern w:val="2"/>
      <w:sz w:val="18"/>
      <w:szCs w:val="18"/>
    </w:rPr>
  </w:style>
  <w:style w:type="character" w:customStyle="1" w:styleId="14">
    <w:name w:val="批注框文本 字符"/>
    <w:basedOn w:val="11"/>
    <w:link w:val="4"/>
    <w:qFormat/>
    <w:uiPriority w:val="0"/>
    <w:rPr>
      <w:rFonts w:ascii="Calibri" w:hAnsi="Calibri" w:eastAsia="宋体" w:cs="宋体"/>
      <w:kern w:val="2"/>
      <w:sz w:val="18"/>
      <w:szCs w:val="18"/>
    </w:rPr>
  </w:style>
  <w:style w:type="character" w:customStyle="1" w:styleId="15">
    <w:name w:val="纯文本 字符"/>
    <w:basedOn w:val="11"/>
    <w:link w:val="3"/>
    <w:qFormat/>
    <w:uiPriority w:val="0"/>
    <w:rPr>
      <w:rFonts w:ascii="宋体" w:hAnsi="Courier New" w:cs="宋体"/>
      <w:sz w:val="22"/>
      <w:szCs w:val="22"/>
    </w:rPr>
  </w:style>
  <w:style w:type="character" w:customStyle="1" w:styleId="16">
    <w:name w:val="脚注文本 字符"/>
    <w:basedOn w:val="11"/>
    <w:link w:val="7"/>
    <w:qFormat/>
    <w:uiPriority w:val="0"/>
    <w:rPr>
      <w:rFonts w:ascii="宋体" w:hAnsi="宋体" w:cs="宋体"/>
      <w:sz w:val="18"/>
      <w:szCs w:val="18"/>
    </w:rPr>
  </w:style>
  <w:style w:type="table" w:customStyle="1" w:styleId="17">
    <w:name w:val="Table Normal"/>
    <w:qFormat/>
    <w:uiPriority w:val="2"/>
    <w:pPr>
      <w:widowControl w:val="0"/>
    </w:pPr>
    <w:rPr>
      <w:sz w:val="22"/>
      <w:lang w:eastAsia="en-US"/>
    </w:rPr>
    <w:tblPr>
      <w:tblCellMar>
        <w:top w:w="0" w:type="dxa"/>
        <w:left w:w="0" w:type="dxa"/>
        <w:bottom w:w="0" w:type="dxa"/>
        <w:right w:w="0" w:type="dxa"/>
      </w:tblCellMar>
    </w:tblPr>
  </w:style>
  <w:style w:type="paragraph" w:styleId="18">
    <w:name w:val="List Paragraph"/>
    <w:basedOn w:val="1"/>
    <w:qFormat/>
    <w:uiPriority w:val="99"/>
    <w:pPr>
      <w:autoSpaceDE w:val="0"/>
      <w:autoSpaceDN w:val="0"/>
      <w:ind w:firstLine="420" w:firstLineChars="200"/>
      <w:jc w:val="left"/>
    </w:pPr>
    <w:rPr>
      <w:rFonts w:ascii="宋体" w:hAnsi="宋体"/>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5559</Words>
  <Characters>5943</Characters>
  <Lines>249</Lines>
  <Paragraphs>276</Paragraphs>
  <TotalTime>294</TotalTime>
  <ScaleCrop>false</ScaleCrop>
  <LinksUpToDate>false</LinksUpToDate>
  <CharactersWithSpaces>6779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2024-03-24T03:48:00Z</dcterms:created>
  <dc:creator>绒绒球球</dc:creator>
  <cp:lastModifiedBy>zwj</cp:lastModifiedBy>
  <cp:lastPrinted>2026-03-10T03:15:00Z</cp:lastPrinted>
  <dcterms:modified xsi:type="dcterms:W3CDTF">2026-03-10T03:26:26Z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709fefe1af5842a8b25961cbc668398f_23</vt:lpwstr>
  </property>
</Properties>
</file>